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330"/>
        <w:tblW w:w="0" w:type="auto"/>
        <w:tblLook w:val="04A0" w:firstRow="1" w:lastRow="0" w:firstColumn="1" w:lastColumn="0" w:noHBand="0" w:noVBand="1"/>
      </w:tblPr>
      <w:tblGrid>
        <w:gridCol w:w="9628"/>
      </w:tblGrid>
      <w:tr w:rsidR="00F76409" w:rsidRPr="00F76409" w:rsidTr="00F76409">
        <w:trPr>
          <w:trHeight w:val="841"/>
        </w:trPr>
        <w:tc>
          <w:tcPr>
            <w:tcW w:w="9628" w:type="dxa"/>
          </w:tcPr>
          <w:p w:rsidR="00F76409" w:rsidRPr="00F76409" w:rsidRDefault="00F76409" w:rsidP="00F76409">
            <w:pPr>
              <w:rPr>
                <w:rFonts w:ascii="Arial" w:hAnsi="Arial" w:cs="Arial"/>
              </w:rPr>
            </w:pPr>
          </w:p>
          <w:p w:rsidR="00F76409" w:rsidRPr="00F76409" w:rsidRDefault="00F76409" w:rsidP="00F76409">
            <w:pPr>
              <w:rPr>
                <w:rFonts w:ascii="Arial" w:hAnsi="Arial" w:cs="Arial"/>
                <w:b/>
                <w:sz w:val="28"/>
                <w:szCs w:val="28"/>
              </w:rPr>
            </w:pPr>
            <w:r w:rsidRPr="00F76409">
              <w:rPr>
                <w:rFonts w:ascii="Arial" w:hAnsi="Arial" w:cs="Arial"/>
                <w:sz w:val="28"/>
                <w:szCs w:val="28"/>
              </w:rPr>
              <w:t xml:space="preserve">       </w:t>
            </w:r>
            <w:r>
              <w:rPr>
                <w:rFonts w:ascii="Arial" w:hAnsi="Arial" w:cs="Arial"/>
                <w:sz w:val="28"/>
                <w:szCs w:val="28"/>
              </w:rPr>
              <w:t xml:space="preserve">                               </w:t>
            </w:r>
            <w:r w:rsidRPr="00F76409">
              <w:rPr>
                <w:rFonts w:ascii="Arial" w:hAnsi="Arial" w:cs="Arial"/>
                <w:sz w:val="28"/>
                <w:szCs w:val="28"/>
              </w:rPr>
              <w:t xml:space="preserve"> </w:t>
            </w:r>
            <w:r w:rsidRPr="00F76409">
              <w:rPr>
                <w:rFonts w:ascii="Arial" w:hAnsi="Arial" w:cs="Arial"/>
                <w:b/>
                <w:sz w:val="28"/>
                <w:szCs w:val="28"/>
              </w:rPr>
              <w:t>INSERT CHURCH NAME:</w:t>
            </w:r>
          </w:p>
        </w:tc>
      </w:tr>
    </w:tbl>
    <w:p w:rsidR="003723B5" w:rsidRPr="00F76409" w:rsidRDefault="003723B5">
      <w:pPr>
        <w:rPr>
          <w:rFonts w:ascii="Arial" w:hAnsi="Arial" w:cs="Arial"/>
        </w:rPr>
      </w:pPr>
    </w:p>
    <w:p w:rsidR="002301CA" w:rsidRPr="00F76409" w:rsidRDefault="00F76409" w:rsidP="002301CA">
      <w:pPr>
        <w:rPr>
          <w:rFonts w:ascii="Arial" w:hAnsi="Arial" w:cs="Arial"/>
          <w:b/>
          <w:sz w:val="36"/>
          <w:szCs w:val="36"/>
        </w:rPr>
      </w:pPr>
      <w:r w:rsidRPr="00F76409">
        <w:rPr>
          <w:rFonts w:ascii="Arial" w:hAnsi="Arial" w:cs="Arial"/>
          <w:b/>
          <w:sz w:val="28"/>
          <w:szCs w:val="28"/>
        </w:rPr>
        <w:t xml:space="preserve">                                     </w:t>
      </w:r>
      <w:r w:rsidR="002301CA" w:rsidRPr="00F76409">
        <w:rPr>
          <w:rFonts w:ascii="Arial" w:hAnsi="Arial" w:cs="Arial"/>
          <w:b/>
          <w:sz w:val="36"/>
          <w:szCs w:val="36"/>
        </w:rPr>
        <w:t>PROCUREMENT POLICY</w:t>
      </w:r>
    </w:p>
    <w:p w:rsidR="002301CA" w:rsidRPr="00F76409" w:rsidRDefault="002301CA" w:rsidP="002301CA">
      <w:pPr>
        <w:rPr>
          <w:rFonts w:ascii="Arial" w:eastAsia="Calibri" w:hAnsi="Arial" w:cs="Arial"/>
          <w:b/>
          <w:u w:val="single"/>
        </w:rPr>
      </w:pPr>
    </w:p>
    <w:p w:rsidR="002301CA" w:rsidRPr="00F76409" w:rsidRDefault="002301CA" w:rsidP="002301CA">
      <w:pPr>
        <w:spacing w:line="288" w:lineRule="auto"/>
        <w:jc w:val="both"/>
        <w:rPr>
          <w:rFonts w:ascii="Arial" w:hAnsi="Arial" w:cs="Arial"/>
          <w:b/>
          <w:sz w:val="24"/>
          <w:szCs w:val="24"/>
        </w:rPr>
      </w:pPr>
      <w:r w:rsidRPr="00F76409">
        <w:rPr>
          <w:rFonts w:ascii="Arial" w:hAnsi="Arial" w:cs="Arial"/>
          <w:b/>
          <w:sz w:val="24"/>
          <w:szCs w:val="24"/>
        </w:rPr>
        <w:t>POLICY</w:t>
      </w:r>
    </w:p>
    <w:p w:rsidR="002301CA" w:rsidRPr="00F76409" w:rsidRDefault="002301CA" w:rsidP="002301CA">
      <w:pPr>
        <w:pStyle w:val="ListParagraph"/>
        <w:numPr>
          <w:ilvl w:val="0"/>
          <w:numId w:val="21"/>
        </w:numPr>
        <w:spacing w:line="288" w:lineRule="auto"/>
        <w:jc w:val="both"/>
        <w:rPr>
          <w:rFonts w:ascii="Arial" w:hAnsi="Arial" w:cs="Arial"/>
        </w:rPr>
      </w:pPr>
      <w:r w:rsidRPr="00F76409">
        <w:rPr>
          <w:rFonts w:ascii="Arial" w:hAnsi="Arial" w:cs="Arial"/>
        </w:rPr>
        <w:t>Procurement is our process of finding and buying works, equipment, goods and services.</w:t>
      </w:r>
    </w:p>
    <w:p w:rsidR="002301CA" w:rsidRPr="00F76409" w:rsidRDefault="002301CA" w:rsidP="002301CA">
      <w:pPr>
        <w:pStyle w:val="ListParagraph"/>
        <w:numPr>
          <w:ilvl w:val="0"/>
          <w:numId w:val="20"/>
        </w:numPr>
        <w:spacing w:after="0" w:line="288" w:lineRule="auto"/>
        <w:jc w:val="both"/>
        <w:rPr>
          <w:rFonts w:ascii="Arial" w:hAnsi="Arial" w:cs="Arial"/>
        </w:rPr>
      </w:pPr>
      <w:r w:rsidRPr="00F76409">
        <w:rPr>
          <w:rFonts w:ascii="Arial" w:hAnsi="Arial" w:cs="Arial"/>
        </w:rPr>
        <w:t>We are committed to ensuring that all procurement which we finance, whether directly or indirectly, achieves value for money and is not environmentally questionable and/or unethical.</w:t>
      </w:r>
    </w:p>
    <w:p w:rsidR="002301CA" w:rsidRPr="00F76409" w:rsidRDefault="002301CA" w:rsidP="002301CA">
      <w:pPr>
        <w:pStyle w:val="ListParagraph"/>
        <w:numPr>
          <w:ilvl w:val="0"/>
          <w:numId w:val="20"/>
        </w:numPr>
        <w:spacing w:after="0" w:line="288" w:lineRule="auto"/>
        <w:jc w:val="both"/>
        <w:rPr>
          <w:rFonts w:ascii="Arial" w:hAnsi="Arial" w:cs="Arial"/>
        </w:rPr>
      </w:pPr>
      <w:r w:rsidRPr="00F76409">
        <w:rPr>
          <w:rFonts w:ascii="Arial" w:hAnsi="Arial" w:cs="Arial"/>
        </w:rPr>
        <w:t>All expenditure must therefore demonstrate that value for money will be achieved. We will also consider the lifetime environmental impact of our decisions.</w:t>
      </w:r>
    </w:p>
    <w:p w:rsidR="002301CA" w:rsidRPr="00F76409" w:rsidRDefault="002301CA" w:rsidP="002301CA">
      <w:pPr>
        <w:pStyle w:val="ListParagraph"/>
        <w:numPr>
          <w:ilvl w:val="0"/>
          <w:numId w:val="20"/>
        </w:numPr>
        <w:spacing w:after="0" w:line="288" w:lineRule="auto"/>
        <w:jc w:val="both"/>
        <w:rPr>
          <w:rFonts w:ascii="Arial" w:hAnsi="Arial" w:cs="Arial"/>
        </w:rPr>
      </w:pPr>
      <w:r w:rsidRPr="00F76409">
        <w:rPr>
          <w:rFonts w:ascii="Arial" w:hAnsi="Arial" w:cs="Arial"/>
        </w:rPr>
        <w:t>This policy applies where the PCC may devolve procurement responsibility for a specific project to a project team, such as in the case of major building works, repairs or refurbishment, which means the project team must follow this Policy</w:t>
      </w:r>
    </w:p>
    <w:p w:rsidR="002301CA" w:rsidRPr="00F76409" w:rsidRDefault="002301CA" w:rsidP="002301CA">
      <w:pPr>
        <w:pStyle w:val="ListParagraph"/>
        <w:numPr>
          <w:ilvl w:val="0"/>
          <w:numId w:val="20"/>
        </w:numPr>
        <w:spacing w:after="0" w:line="288" w:lineRule="auto"/>
        <w:jc w:val="both"/>
        <w:rPr>
          <w:rFonts w:ascii="Arial" w:hAnsi="Arial" w:cs="Arial"/>
        </w:rPr>
      </w:pPr>
      <w:r w:rsidRPr="00F76409">
        <w:rPr>
          <w:rFonts w:ascii="Arial" w:hAnsi="Arial" w:cs="Arial"/>
        </w:rPr>
        <w:t>Where any works are grant-funded, the terms of the grant regarding procurement must also be met.</w:t>
      </w:r>
    </w:p>
    <w:p w:rsidR="002301CA" w:rsidRPr="00F76409" w:rsidRDefault="002301CA" w:rsidP="002301CA">
      <w:pPr>
        <w:spacing w:line="288" w:lineRule="auto"/>
        <w:rPr>
          <w:rFonts w:ascii="Arial" w:hAnsi="Arial" w:cs="Arial"/>
        </w:rPr>
      </w:pPr>
    </w:p>
    <w:p w:rsidR="002301CA" w:rsidRPr="00F76409" w:rsidRDefault="002301CA" w:rsidP="002301CA">
      <w:pPr>
        <w:spacing w:line="288" w:lineRule="auto"/>
        <w:rPr>
          <w:rFonts w:ascii="Arial" w:hAnsi="Arial" w:cs="Arial"/>
          <w:b/>
          <w:sz w:val="24"/>
          <w:szCs w:val="24"/>
        </w:rPr>
      </w:pPr>
      <w:r w:rsidRPr="00F76409">
        <w:rPr>
          <w:rFonts w:ascii="Arial" w:hAnsi="Arial" w:cs="Arial"/>
          <w:b/>
          <w:sz w:val="24"/>
          <w:szCs w:val="24"/>
        </w:rPr>
        <w:t>PROCUREMENT PROCEDURES</w:t>
      </w:r>
    </w:p>
    <w:p w:rsidR="002301CA" w:rsidRPr="00F76409" w:rsidRDefault="002301CA" w:rsidP="002301CA">
      <w:pPr>
        <w:spacing w:line="288" w:lineRule="auto"/>
        <w:jc w:val="both"/>
        <w:rPr>
          <w:rFonts w:ascii="Arial" w:hAnsi="Arial" w:cs="Arial"/>
        </w:rPr>
      </w:pPr>
      <w:r w:rsidRPr="00F76409">
        <w:rPr>
          <w:rFonts w:ascii="Arial" w:hAnsi="Arial" w:cs="Arial"/>
        </w:rPr>
        <w:t>1. Routine procurement in line with the approved budget can be made without prior permission. However it is prudent to check with the PCC Treasurer that there are sufficient funds available to meet the cost. Items exceeding the limits defined in points 3 and 4 below should be subject to the appropriate permissions and quotes (with the exception of running costs such as utility bills and insurance renewal).</w:t>
      </w:r>
    </w:p>
    <w:p w:rsidR="002301CA" w:rsidRPr="00F76409" w:rsidRDefault="002301CA" w:rsidP="002301CA">
      <w:pPr>
        <w:spacing w:line="288" w:lineRule="auto"/>
        <w:jc w:val="both"/>
        <w:rPr>
          <w:rFonts w:ascii="Arial" w:hAnsi="Arial" w:cs="Arial"/>
        </w:rPr>
      </w:pPr>
      <w:r w:rsidRPr="00F76409">
        <w:rPr>
          <w:rFonts w:ascii="Arial" w:hAnsi="Arial" w:cs="Arial"/>
        </w:rPr>
        <w:t xml:space="preserve">2. </w:t>
      </w:r>
      <w:r w:rsidRPr="00F76409">
        <w:rPr>
          <w:rFonts w:ascii="Arial" w:hAnsi="Arial" w:cs="Arial"/>
          <w:b/>
        </w:rPr>
        <w:t>Items below £100</w:t>
      </w:r>
      <w:r w:rsidRPr="00F76409">
        <w:rPr>
          <w:rFonts w:ascii="Arial" w:hAnsi="Arial" w:cs="Arial"/>
        </w:rPr>
        <w:t xml:space="preserve"> in value (outside or exceeding the budget) can be approved by the Churchwardens and Vicar (or any of them)</w:t>
      </w:r>
    </w:p>
    <w:p w:rsidR="002301CA" w:rsidRPr="00F76409" w:rsidRDefault="002301CA" w:rsidP="002301CA">
      <w:pPr>
        <w:spacing w:line="288" w:lineRule="auto"/>
        <w:jc w:val="both"/>
        <w:rPr>
          <w:rFonts w:ascii="Arial" w:hAnsi="Arial" w:cs="Arial"/>
        </w:rPr>
      </w:pPr>
      <w:r w:rsidRPr="00F76409">
        <w:rPr>
          <w:rFonts w:ascii="Arial" w:hAnsi="Arial" w:cs="Arial"/>
        </w:rPr>
        <w:t xml:space="preserve">3. For </w:t>
      </w:r>
      <w:r w:rsidRPr="00F76409">
        <w:rPr>
          <w:rFonts w:ascii="Arial" w:hAnsi="Arial" w:cs="Arial"/>
          <w:b/>
        </w:rPr>
        <w:t>items between £100 and £500</w:t>
      </w:r>
      <w:r w:rsidRPr="00F76409">
        <w:rPr>
          <w:rFonts w:ascii="Arial" w:hAnsi="Arial" w:cs="Arial"/>
        </w:rPr>
        <w:t>, purchasing decisions are to be approved by the Churchwardens and Vicar as the joint decision of all of them.</w:t>
      </w:r>
    </w:p>
    <w:p w:rsidR="002301CA" w:rsidRPr="00F76409" w:rsidRDefault="002301CA" w:rsidP="002301CA">
      <w:pPr>
        <w:spacing w:line="288" w:lineRule="auto"/>
        <w:jc w:val="both"/>
        <w:rPr>
          <w:rFonts w:ascii="Arial" w:hAnsi="Arial" w:cs="Arial"/>
        </w:rPr>
      </w:pPr>
      <w:r w:rsidRPr="00F76409">
        <w:rPr>
          <w:rFonts w:ascii="Arial" w:hAnsi="Arial" w:cs="Arial"/>
        </w:rPr>
        <w:t xml:space="preserve">4. For </w:t>
      </w:r>
      <w:r w:rsidRPr="00F76409">
        <w:rPr>
          <w:rFonts w:ascii="Arial" w:hAnsi="Arial" w:cs="Arial"/>
          <w:b/>
        </w:rPr>
        <w:t>items between £500 and £15,000</w:t>
      </w:r>
      <w:r w:rsidRPr="00F76409">
        <w:rPr>
          <w:rFonts w:ascii="Arial" w:hAnsi="Arial" w:cs="Arial"/>
        </w:rPr>
        <w:t>, the permission of the full PCC is required and we would normally seek written quotes from three suppliers, based on a clear specification. In all cases our decision will be based on value for money which might include an unbiased consideration of the following factors:</w:t>
      </w:r>
    </w:p>
    <w:p w:rsidR="002301CA" w:rsidRPr="00F76409" w:rsidRDefault="002301CA" w:rsidP="002301CA">
      <w:pPr>
        <w:pStyle w:val="ListParagraph"/>
        <w:numPr>
          <w:ilvl w:val="0"/>
          <w:numId w:val="15"/>
        </w:numPr>
        <w:spacing w:after="0" w:line="288" w:lineRule="auto"/>
        <w:jc w:val="both"/>
        <w:rPr>
          <w:rFonts w:ascii="Arial" w:hAnsi="Arial" w:cs="Arial"/>
        </w:rPr>
      </w:pPr>
      <w:r w:rsidRPr="00F76409">
        <w:rPr>
          <w:rFonts w:ascii="Arial" w:hAnsi="Arial" w:cs="Arial"/>
        </w:rPr>
        <w:t>Environmental and Ethical considerations (following the policy above)</w:t>
      </w:r>
    </w:p>
    <w:p w:rsidR="002301CA" w:rsidRPr="00F76409" w:rsidRDefault="002301CA" w:rsidP="002301CA">
      <w:pPr>
        <w:pStyle w:val="ListParagraph"/>
        <w:numPr>
          <w:ilvl w:val="0"/>
          <w:numId w:val="15"/>
        </w:numPr>
        <w:spacing w:after="0" w:line="288" w:lineRule="auto"/>
        <w:jc w:val="both"/>
        <w:rPr>
          <w:rFonts w:ascii="Arial" w:hAnsi="Arial" w:cs="Arial"/>
        </w:rPr>
      </w:pPr>
      <w:r w:rsidRPr="00F76409">
        <w:rPr>
          <w:rFonts w:ascii="Arial" w:hAnsi="Arial" w:cs="Arial"/>
        </w:rPr>
        <w:t>Price</w:t>
      </w:r>
    </w:p>
    <w:p w:rsidR="002301CA" w:rsidRPr="00F76409" w:rsidRDefault="002301CA" w:rsidP="002301CA">
      <w:pPr>
        <w:pStyle w:val="ListParagraph"/>
        <w:numPr>
          <w:ilvl w:val="0"/>
          <w:numId w:val="15"/>
        </w:numPr>
        <w:spacing w:after="0" w:line="288" w:lineRule="auto"/>
        <w:jc w:val="both"/>
        <w:rPr>
          <w:rFonts w:ascii="Arial" w:hAnsi="Arial" w:cs="Arial"/>
        </w:rPr>
      </w:pPr>
      <w:r w:rsidRPr="00F76409">
        <w:rPr>
          <w:rFonts w:ascii="Arial" w:hAnsi="Arial" w:cs="Arial"/>
        </w:rPr>
        <w:t>Ability to deliver the required Service Quality and Timescales (which may include attendance on-site if necessary)</w:t>
      </w:r>
    </w:p>
    <w:p w:rsidR="002301CA" w:rsidRPr="00F76409" w:rsidRDefault="002301CA" w:rsidP="002301CA">
      <w:pPr>
        <w:pStyle w:val="ListParagraph"/>
        <w:numPr>
          <w:ilvl w:val="0"/>
          <w:numId w:val="15"/>
        </w:numPr>
        <w:spacing w:after="0" w:line="288" w:lineRule="auto"/>
        <w:jc w:val="both"/>
        <w:rPr>
          <w:rFonts w:ascii="Arial" w:hAnsi="Arial" w:cs="Arial"/>
        </w:rPr>
      </w:pPr>
      <w:r w:rsidRPr="00F76409">
        <w:rPr>
          <w:rFonts w:ascii="Arial" w:hAnsi="Arial" w:cs="Arial"/>
        </w:rPr>
        <w:t>Warranty and Guarantees</w:t>
      </w:r>
    </w:p>
    <w:p w:rsidR="002301CA" w:rsidRPr="00F76409" w:rsidRDefault="002301CA" w:rsidP="002301CA">
      <w:pPr>
        <w:pStyle w:val="ListParagraph"/>
        <w:numPr>
          <w:ilvl w:val="0"/>
          <w:numId w:val="15"/>
        </w:numPr>
        <w:spacing w:after="0" w:line="288" w:lineRule="auto"/>
        <w:jc w:val="both"/>
        <w:rPr>
          <w:rFonts w:ascii="Arial" w:hAnsi="Arial" w:cs="Arial"/>
        </w:rPr>
      </w:pPr>
      <w:r w:rsidRPr="00F76409">
        <w:rPr>
          <w:rFonts w:ascii="Arial" w:hAnsi="Arial" w:cs="Arial"/>
        </w:rPr>
        <w:t>Experience, Reputation  and Recommendation</w:t>
      </w:r>
    </w:p>
    <w:p w:rsidR="002301CA" w:rsidRPr="00F76409" w:rsidRDefault="002301CA" w:rsidP="002301CA">
      <w:pPr>
        <w:pStyle w:val="ListParagraph"/>
        <w:spacing w:after="0" w:line="288" w:lineRule="auto"/>
        <w:ind w:left="780"/>
        <w:jc w:val="both"/>
        <w:rPr>
          <w:rFonts w:ascii="Arial" w:hAnsi="Arial" w:cs="Arial"/>
        </w:rPr>
      </w:pPr>
    </w:p>
    <w:p w:rsidR="002301CA" w:rsidRPr="00F76409" w:rsidRDefault="002301CA" w:rsidP="002301CA">
      <w:pPr>
        <w:spacing w:line="288" w:lineRule="auto"/>
        <w:jc w:val="both"/>
        <w:rPr>
          <w:rFonts w:ascii="Arial" w:hAnsi="Arial" w:cs="Arial"/>
        </w:rPr>
      </w:pPr>
      <w:r w:rsidRPr="00F76409">
        <w:rPr>
          <w:rFonts w:ascii="Arial" w:hAnsi="Arial" w:cs="Arial"/>
        </w:rPr>
        <w:t xml:space="preserve">5. For </w:t>
      </w:r>
      <w:r w:rsidRPr="00F76409">
        <w:rPr>
          <w:rFonts w:ascii="Arial" w:hAnsi="Arial" w:cs="Arial"/>
          <w:b/>
        </w:rPr>
        <w:t>items or services between £15,000 and £50,000</w:t>
      </w:r>
      <w:r w:rsidRPr="00F76409">
        <w:rPr>
          <w:rFonts w:ascii="Arial" w:hAnsi="Arial" w:cs="Arial"/>
        </w:rPr>
        <w:t>, full PCC approval is required and we will draw up a written specification and aim to obtain a minimum of three competitive quotes. We may select a preferred supplier directly where the service required:</w:t>
      </w:r>
    </w:p>
    <w:p w:rsidR="002301CA" w:rsidRPr="00F76409" w:rsidRDefault="002301CA" w:rsidP="002301CA">
      <w:pPr>
        <w:pStyle w:val="ListParagraph"/>
        <w:numPr>
          <w:ilvl w:val="0"/>
          <w:numId w:val="16"/>
        </w:numPr>
        <w:spacing w:after="0" w:line="288" w:lineRule="auto"/>
        <w:jc w:val="both"/>
        <w:rPr>
          <w:rFonts w:ascii="Arial" w:hAnsi="Arial" w:cs="Arial"/>
        </w:rPr>
      </w:pPr>
      <w:r w:rsidRPr="00F76409">
        <w:rPr>
          <w:rFonts w:ascii="Arial" w:hAnsi="Arial" w:cs="Arial"/>
        </w:rPr>
        <w:t>is highly specialist and we cannot identify potential alternative suppliers;</w:t>
      </w:r>
    </w:p>
    <w:p w:rsidR="002301CA" w:rsidRPr="00F76409" w:rsidRDefault="002301CA" w:rsidP="002301CA">
      <w:pPr>
        <w:pStyle w:val="ListParagraph"/>
        <w:numPr>
          <w:ilvl w:val="0"/>
          <w:numId w:val="16"/>
        </w:numPr>
        <w:spacing w:after="0" w:line="288" w:lineRule="auto"/>
        <w:jc w:val="both"/>
        <w:rPr>
          <w:rFonts w:ascii="Arial" w:hAnsi="Arial" w:cs="Arial"/>
        </w:rPr>
      </w:pPr>
      <w:proofErr w:type="gramStart"/>
      <w:r w:rsidRPr="00F76409">
        <w:rPr>
          <w:rFonts w:ascii="Arial" w:hAnsi="Arial" w:cs="Arial"/>
        </w:rPr>
        <w:lastRenderedPageBreak/>
        <w:t>extends</w:t>
      </w:r>
      <w:proofErr w:type="gramEnd"/>
      <w:r w:rsidRPr="00F76409">
        <w:rPr>
          <w:rFonts w:ascii="Arial" w:hAnsi="Arial" w:cs="Arial"/>
        </w:rPr>
        <w:t xml:space="preserve"> or relies on knowledge from a relevant previous collaboration with one particular supplier.</w:t>
      </w:r>
    </w:p>
    <w:p w:rsidR="002301CA" w:rsidRPr="00F76409" w:rsidRDefault="002301CA" w:rsidP="002301CA">
      <w:pPr>
        <w:spacing w:line="288" w:lineRule="auto"/>
        <w:jc w:val="both"/>
        <w:rPr>
          <w:rFonts w:ascii="Arial" w:hAnsi="Arial" w:cs="Arial"/>
        </w:rPr>
      </w:pPr>
      <w:r w:rsidRPr="00F76409">
        <w:rPr>
          <w:rFonts w:ascii="Arial" w:hAnsi="Arial" w:cs="Arial"/>
        </w:rPr>
        <w:t>In these cases, we will take reasonable steps to establish that the supplier’s costs are acceptable, e.g. by comparing rates from other similar businesses where this is practicable, and record and retain that information in the form of a file note.</w:t>
      </w:r>
    </w:p>
    <w:p w:rsidR="002301CA" w:rsidRPr="00F76409" w:rsidRDefault="002301CA" w:rsidP="002301CA">
      <w:pPr>
        <w:spacing w:line="288" w:lineRule="auto"/>
        <w:jc w:val="both"/>
        <w:rPr>
          <w:rFonts w:ascii="Arial" w:hAnsi="Arial" w:cs="Arial"/>
        </w:rPr>
      </w:pPr>
      <w:r w:rsidRPr="00F76409">
        <w:rPr>
          <w:rFonts w:ascii="Arial" w:hAnsi="Arial" w:cs="Arial"/>
        </w:rPr>
        <w:t xml:space="preserve">6. For </w:t>
      </w:r>
      <w:r w:rsidRPr="00F76409">
        <w:rPr>
          <w:rFonts w:ascii="Arial" w:hAnsi="Arial" w:cs="Arial"/>
          <w:b/>
        </w:rPr>
        <w:t>larger project over £50,000</w:t>
      </w:r>
      <w:r w:rsidRPr="00F76409">
        <w:rPr>
          <w:rFonts w:ascii="Arial" w:hAnsi="Arial" w:cs="Arial"/>
        </w:rPr>
        <w:t>, full PCC approval is required and we will:</w:t>
      </w:r>
    </w:p>
    <w:p w:rsidR="002301CA" w:rsidRPr="00F76409" w:rsidRDefault="002301CA" w:rsidP="002301CA">
      <w:pPr>
        <w:pStyle w:val="ListParagraph"/>
        <w:numPr>
          <w:ilvl w:val="0"/>
          <w:numId w:val="17"/>
        </w:numPr>
        <w:spacing w:after="0" w:line="288" w:lineRule="auto"/>
        <w:jc w:val="both"/>
        <w:rPr>
          <w:rFonts w:ascii="Arial" w:hAnsi="Arial" w:cs="Arial"/>
        </w:rPr>
      </w:pPr>
      <w:r w:rsidRPr="00F76409">
        <w:rPr>
          <w:rFonts w:ascii="Arial" w:hAnsi="Arial" w:cs="Arial"/>
        </w:rPr>
        <w:t>Research potential suppliers and invite expressions of interest.</w:t>
      </w:r>
    </w:p>
    <w:p w:rsidR="002301CA" w:rsidRPr="00F76409" w:rsidRDefault="002301CA" w:rsidP="002301CA">
      <w:pPr>
        <w:pStyle w:val="ListParagraph"/>
        <w:numPr>
          <w:ilvl w:val="0"/>
          <w:numId w:val="17"/>
        </w:numPr>
        <w:spacing w:after="0" w:line="288" w:lineRule="auto"/>
        <w:jc w:val="both"/>
        <w:rPr>
          <w:rFonts w:ascii="Arial" w:hAnsi="Arial" w:cs="Arial"/>
        </w:rPr>
      </w:pPr>
      <w:r w:rsidRPr="00F76409">
        <w:rPr>
          <w:rFonts w:ascii="Arial" w:hAnsi="Arial" w:cs="Arial"/>
        </w:rPr>
        <w:t>Invite to Tender, by sending Tender documents to all those who respond.</w:t>
      </w:r>
    </w:p>
    <w:p w:rsidR="002301CA" w:rsidRPr="00F76409" w:rsidRDefault="002301CA" w:rsidP="002301CA">
      <w:pPr>
        <w:pStyle w:val="ListParagraph"/>
        <w:numPr>
          <w:ilvl w:val="0"/>
          <w:numId w:val="17"/>
        </w:numPr>
        <w:spacing w:after="0" w:line="288" w:lineRule="auto"/>
        <w:jc w:val="both"/>
        <w:rPr>
          <w:rFonts w:ascii="Arial" w:hAnsi="Arial" w:cs="Arial"/>
        </w:rPr>
      </w:pPr>
      <w:r w:rsidRPr="00F76409">
        <w:rPr>
          <w:rFonts w:ascii="Arial" w:hAnsi="Arial" w:cs="Arial"/>
        </w:rPr>
        <w:t>Evaluate the Tenders by considering:</w:t>
      </w:r>
    </w:p>
    <w:p w:rsidR="002301CA" w:rsidRPr="00F76409" w:rsidRDefault="002301CA" w:rsidP="002301CA">
      <w:pPr>
        <w:pStyle w:val="ListParagraph"/>
        <w:numPr>
          <w:ilvl w:val="0"/>
          <w:numId w:val="18"/>
        </w:numPr>
        <w:spacing w:after="0" w:line="288" w:lineRule="auto"/>
        <w:jc w:val="both"/>
        <w:rPr>
          <w:rFonts w:ascii="Arial" w:hAnsi="Arial" w:cs="Arial"/>
        </w:rPr>
      </w:pPr>
      <w:r w:rsidRPr="00F76409">
        <w:rPr>
          <w:rFonts w:ascii="Arial" w:hAnsi="Arial" w:cs="Arial"/>
        </w:rPr>
        <w:t>whether the tenderer has suitable technical capability for the project;</w:t>
      </w:r>
    </w:p>
    <w:p w:rsidR="002301CA" w:rsidRPr="00F76409" w:rsidRDefault="002301CA" w:rsidP="002301CA">
      <w:pPr>
        <w:pStyle w:val="ListParagraph"/>
        <w:numPr>
          <w:ilvl w:val="0"/>
          <w:numId w:val="18"/>
        </w:numPr>
        <w:spacing w:after="0" w:line="288" w:lineRule="auto"/>
        <w:jc w:val="both"/>
        <w:rPr>
          <w:rFonts w:ascii="Arial" w:hAnsi="Arial" w:cs="Arial"/>
        </w:rPr>
      </w:pPr>
      <w:r w:rsidRPr="00F76409">
        <w:rPr>
          <w:rFonts w:ascii="Arial" w:hAnsi="Arial" w:cs="Arial"/>
        </w:rPr>
        <w:t>whether the tenderer can provide evidence of minimum standard of experience (3 jobs of a similar nature within the last 3 years); and</w:t>
      </w:r>
    </w:p>
    <w:p w:rsidR="002301CA" w:rsidRPr="00F76409" w:rsidRDefault="002301CA" w:rsidP="002301CA">
      <w:pPr>
        <w:pStyle w:val="ListParagraph"/>
        <w:numPr>
          <w:ilvl w:val="0"/>
          <w:numId w:val="18"/>
        </w:numPr>
        <w:spacing w:after="0" w:line="288" w:lineRule="auto"/>
        <w:jc w:val="both"/>
        <w:rPr>
          <w:rFonts w:ascii="Arial" w:hAnsi="Arial" w:cs="Arial"/>
        </w:rPr>
      </w:pPr>
      <w:proofErr w:type="gramStart"/>
      <w:r w:rsidRPr="00F76409">
        <w:rPr>
          <w:rFonts w:ascii="Arial" w:hAnsi="Arial" w:cs="Arial"/>
        </w:rPr>
        <w:t>whether</w:t>
      </w:r>
      <w:proofErr w:type="gramEnd"/>
      <w:r w:rsidRPr="00F76409">
        <w:rPr>
          <w:rFonts w:ascii="Arial" w:hAnsi="Arial" w:cs="Arial"/>
        </w:rPr>
        <w:t xml:space="preserve"> the tenderer can demonstrate that they have the necessary resources available (manpower, equipment and the ability to perform the contract by the anticipated deadline) to successfully undertake the commission.</w:t>
      </w:r>
    </w:p>
    <w:p w:rsidR="002301CA" w:rsidRPr="00F76409" w:rsidRDefault="002301CA" w:rsidP="002301CA">
      <w:pPr>
        <w:pStyle w:val="ListParagraph"/>
        <w:numPr>
          <w:ilvl w:val="0"/>
          <w:numId w:val="19"/>
        </w:numPr>
        <w:spacing w:after="0" w:line="288" w:lineRule="auto"/>
        <w:jc w:val="both"/>
        <w:rPr>
          <w:rFonts w:ascii="Arial" w:hAnsi="Arial" w:cs="Arial"/>
        </w:rPr>
      </w:pPr>
      <w:r w:rsidRPr="00F76409">
        <w:rPr>
          <w:rFonts w:ascii="Arial" w:hAnsi="Arial" w:cs="Arial"/>
        </w:rPr>
        <w:t>Assess the tenders. This may be price-only, or quality/price where the quality criteria are other than the tenderer’s expertise, experience, and resources available as set out above.</w:t>
      </w:r>
    </w:p>
    <w:p w:rsidR="002301CA" w:rsidRPr="00F76409" w:rsidRDefault="002301CA" w:rsidP="002301CA">
      <w:pPr>
        <w:pStyle w:val="ListParagraph"/>
        <w:numPr>
          <w:ilvl w:val="0"/>
          <w:numId w:val="19"/>
        </w:numPr>
        <w:spacing w:after="0" w:line="288" w:lineRule="auto"/>
        <w:jc w:val="both"/>
        <w:rPr>
          <w:rFonts w:ascii="Arial" w:hAnsi="Arial" w:cs="Arial"/>
        </w:rPr>
      </w:pPr>
      <w:r w:rsidRPr="00F76409">
        <w:rPr>
          <w:rFonts w:ascii="Arial" w:hAnsi="Arial" w:cs="Arial"/>
        </w:rPr>
        <w:t>Appoint successful tenderer.</w:t>
      </w:r>
    </w:p>
    <w:p w:rsidR="002301CA" w:rsidRPr="00F76409" w:rsidRDefault="002301CA" w:rsidP="002301CA">
      <w:pPr>
        <w:pStyle w:val="ListParagraph"/>
        <w:numPr>
          <w:ilvl w:val="0"/>
          <w:numId w:val="19"/>
        </w:numPr>
        <w:spacing w:after="0" w:line="288" w:lineRule="auto"/>
        <w:jc w:val="both"/>
        <w:rPr>
          <w:rFonts w:ascii="Arial" w:hAnsi="Arial" w:cs="Arial"/>
        </w:rPr>
      </w:pPr>
      <w:r w:rsidRPr="00F76409">
        <w:rPr>
          <w:rFonts w:ascii="Arial" w:hAnsi="Arial" w:cs="Arial"/>
        </w:rPr>
        <w:t>Inform unsuccessful tenderers.</w:t>
      </w:r>
    </w:p>
    <w:p w:rsidR="002301CA" w:rsidRPr="00F76409" w:rsidRDefault="002301CA" w:rsidP="002301CA">
      <w:pPr>
        <w:spacing w:line="288" w:lineRule="auto"/>
        <w:jc w:val="both"/>
        <w:rPr>
          <w:rFonts w:ascii="Arial" w:hAnsi="Arial" w:cs="Arial"/>
        </w:rPr>
      </w:pPr>
    </w:p>
    <w:p w:rsidR="002301CA" w:rsidRPr="00F76409" w:rsidRDefault="002301CA" w:rsidP="002301CA">
      <w:pPr>
        <w:spacing w:line="288" w:lineRule="auto"/>
        <w:jc w:val="both"/>
        <w:rPr>
          <w:rFonts w:ascii="Arial" w:hAnsi="Arial" w:cs="Arial"/>
        </w:rPr>
      </w:pPr>
      <w:r w:rsidRPr="00F76409">
        <w:rPr>
          <w:rFonts w:ascii="Arial" w:hAnsi="Arial" w:cs="Arial"/>
        </w:rPr>
        <w:t xml:space="preserve">We will keep </w:t>
      </w:r>
      <w:r w:rsidRPr="00F76409">
        <w:rPr>
          <w:rFonts w:ascii="Arial" w:hAnsi="Arial" w:cs="Arial"/>
          <w:b/>
        </w:rPr>
        <w:t>records</w:t>
      </w:r>
      <w:r w:rsidRPr="00F76409">
        <w:rPr>
          <w:rFonts w:ascii="Arial" w:hAnsi="Arial" w:cs="Arial"/>
        </w:rPr>
        <w:t xml:space="preserve"> of the Procurement process, so that we can show how we have appointed the successful tenderer.</w:t>
      </w:r>
    </w:p>
    <w:p w:rsidR="006A769A" w:rsidRDefault="002301CA" w:rsidP="002301CA">
      <w:pPr>
        <w:spacing w:line="288" w:lineRule="auto"/>
        <w:jc w:val="both"/>
        <w:rPr>
          <w:rFonts w:ascii="Arial" w:hAnsi="Arial" w:cs="Arial"/>
        </w:rPr>
      </w:pPr>
      <w:r w:rsidRPr="00F76409">
        <w:rPr>
          <w:rFonts w:ascii="Arial" w:hAnsi="Arial" w:cs="Arial"/>
        </w:rPr>
        <w:t xml:space="preserve">In the </w:t>
      </w:r>
      <w:r w:rsidRPr="00F76409">
        <w:rPr>
          <w:rFonts w:ascii="Arial" w:hAnsi="Arial" w:cs="Arial"/>
          <w:b/>
        </w:rPr>
        <w:t>case of an emergency</w:t>
      </w:r>
      <w:r w:rsidRPr="00F76409">
        <w:rPr>
          <w:rFonts w:ascii="Arial" w:hAnsi="Arial" w:cs="Arial"/>
        </w:rPr>
        <w:t>, the PCC waives the requirement for competitive quotes and full PCC permission, provided attempts are made to obtain the approval of as many members of the PCC as is reasonably possible, given the nature of the emergency. In an emergency situation the only expenditure incurred, following this emergency procedure, is that required to resolve the immediate problem.</w:t>
      </w:r>
    </w:p>
    <w:p w:rsidR="00A6768E" w:rsidRDefault="00A6768E" w:rsidP="002301CA">
      <w:pPr>
        <w:spacing w:line="288" w:lineRule="auto"/>
        <w:jc w:val="both"/>
        <w:rPr>
          <w:rFonts w:ascii="Arial" w:hAnsi="Arial" w:cs="Arial"/>
        </w:rPr>
      </w:pPr>
    </w:p>
    <w:p w:rsidR="00A6768E" w:rsidRPr="0064095C" w:rsidRDefault="00A6768E" w:rsidP="00A6768E">
      <w:pPr>
        <w:rPr>
          <w:rFonts w:ascii="Arial" w:hAnsi="Arial" w:cs="Arial"/>
          <w:sz w:val="18"/>
          <w:szCs w:val="18"/>
        </w:rPr>
      </w:pPr>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A6768E" w:rsidRDefault="00A6768E" w:rsidP="00A6768E">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A6768E" w:rsidRPr="00F76409" w:rsidRDefault="00A6768E" w:rsidP="00A6768E">
      <w:pPr>
        <w:spacing w:line="288" w:lineRule="auto"/>
        <w:jc w:val="both"/>
        <w:rPr>
          <w:rFonts w:ascii="Arial" w:hAnsi="Arial" w:cs="Arial"/>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bookmarkStart w:id="0" w:name="_GoBack"/>
      <w:bookmarkEnd w:id="0"/>
    </w:p>
    <w:sectPr w:rsidR="00A6768E" w:rsidRPr="00F76409" w:rsidSect="002301CA">
      <w:pgSz w:w="11906" w:h="16838"/>
      <w:pgMar w:top="73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DBC"/>
    <w:multiLevelType w:val="hybridMultilevel"/>
    <w:tmpl w:val="DE7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C6816"/>
    <w:multiLevelType w:val="hybridMultilevel"/>
    <w:tmpl w:val="B5AE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73956"/>
    <w:multiLevelType w:val="hybridMultilevel"/>
    <w:tmpl w:val="3FFE41D2"/>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2614B"/>
    <w:multiLevelType w:val="multilevel"/>
    <w:tmpl w:val="6C9636E8"/>
    <w:lvl w:ilvl="0">
      <w:start w:val="2"/>
      <w:numFmt w:val="decimal"/>
      <w:lvlText w:val="%1"/>
      <w:lvlJc w:val="left"/>
      <w:pPr>
        <w:ind w:left="360" w:hanging="36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4" w15:restartNumberingAfterBreak="0">
    <w:nsid w:val="1CD55479"/>
    <w:multiLevelType w:val="hybridMultilevel"/>
    <w:tmpl w:val="29BC72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06D3F15"/>
    <w:multiLevelType w:val="hybridMultilevel"/>
    <w:tmpl w:val="9224F3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D0688D"/>
    <w:multiLevelType w:val="hybridMultilevel"/>
    <w:tmpl w:val="7C36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F4493"/>
    <w:multiLevelType w:val="hybridMultilevel"/>
    <w:tmpl w:val="1DE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86CEE"/>
    <w:multiLevelType w:val="hybridMultilevel"/>
    <w:tmpl w:val="78F8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D39F6"/>
    <w:multiLevelType w:val="hybridMultilevel"/>
    <w:tmpl w:val="BFE64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534B46"/>
    <w:multiLevelType w:val="hybridMultilevel"/>
    <w:tmpl w:val="ECFC11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DE34859"/>
    <w:multiLevelType w:val="hybridMultilevel"/>
    <w:tmpl w:val="61B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52F7A"/>
    <w:multiLevelType w:val="hybridMultilevel"/>
    <w:tmpl w:val="25BA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35548"/>
    <w:multiLevelType w:val="hybridMultilevel"/>
    <w:tmpl w:val="E54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6781D"/>
    <w:multiLevelType w:val="hybridMultilevel"/>
    <w:tmpl w:val="71A0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D5218"/>
    <w:multiLevelType w:val="multilevel"/>
    <w:tmpl w:val="A41407C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71092F"/>
    <w:multiLevelType w:val="hybridMultilevel"/>
    <w:tmpl w:val="27BCCA96"/>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36372"/>
    <w:multiLevelType w:val="hybridMultilevel"/>
    <w:tmpl w:val="D08E90A4"/>
    <w:lvl w:ilvl="0" w:tplc="A68A7D3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56C19"/>
    <w:multiLevelType w:val="hybridMultilevel"/>
    <w:tmpl w:val="8BC6D372"/>
    <w:lvl w:ilvl="0" w:tplc="000F0409">
      <w:start w:val="1"/>
      <w:numFmt w:val="decimal"/>
      <w:lvlText w:val="%1."/>
      <w:lvlJc w:val="left"/>
      <w:pPr>
        <w:tabs>
          <w:tab w:val="num" w:pos="720"/>
        </w:tabs>
        <w:ind w:left="720" w:hanging="360"/>
      </w:pPr>
    </w:lvl>
    <w:lvl w:ilvl="1" w:tplc="00010409">
      <w:start w:val="1"/>
      <w:numFmt w:val="bullet"/>
      <w:lvlText w:val=""/>
      <w:lvlJc w:val="left"/>
      <w:pPr>
        <w:tabs>
          <w:tab w:val="num" w:pos="1440"/>
        </w:tabs>
        <w:ind w:left="1440" w:hanging="360"/>
      </w:pPr>
      <w:rPr>
        <w:rFonts w:ascii="Symbol" w:hAnsi="Symbol" w:hint="default"/>
      </w:rPr>
    </w:lvl>
    <w:lvl w:ilvl="2" w:tplc="000F0409">
      <w:start w:val="1"/>
      <w:numFmt w:val="decimal"/>
      <w:lvlText w:val="%3."/>
      <w:lvlJc w:val="left"/>
      <w:pPr>
        <w:tabs>
          <w:tab w:val="num" w:pos="2340"/>
        </w:tabs>
        <w:ind w:left="2340" w:hanging="360"/>
      </w:pPr>
    </w:lvl>
    <w:lvl w:ilvl="3" w:tplc="E62EAFEE">
      <w:start w:val="6"/>
      <w:numFmt w:val="decimal"/>
      <w:lvlText w:val="%4"/>
      <w:lvlJc w:val="left"/>
      <w:pPr>
        <w:tabs>
          <w:tab w:val="num" w:pos="2940"/>
        </w:tabs>
        <w:ind w:left="2940" w:hanging="420"/>
      </w:pPr>
      <w:rPr>
        <w:rFonts w:hint="default"/>
        <w:u w:val="none"/>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ACF1F27"/>
    <w:multiLevelType w:val="hybridMultilevel"/>
    <w:tmpl w:val="8E3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44317"/>
    <w:multiLevelType w:val="hybridMultilevel"/>
    <w:tmpl w:val="F846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9"/>
  </w:num>
  <w:num w:numId="4">
    <w:abstractNumId w:val="16"/>
  </w:num>
  <w:num w:numId="5">
    <w:abstractNumId w:val="17"/>
  </w:num>
  <w:num w:numId="6">
    <w:abstractNumId w:val="2"/>
  </w:num>
  <w:num w:numId="7">
    <w:abstractNumId w:val="15"/>
  </w:num>
  <w:num w:numId="8">
    <w:abstractNumId w:val="12"/>
  </w:num>
  <w:num w:numId="9">
    <w:abstractNumId w:val="7"/>
  </w:num>
  <w:num w:numId="10">
    <w:abstractNumId w:val="18"/>
  </w:num>
  <w:num w:numId="11">
    <w:abstractNumId w:val="3"/>
  </w:num>
  <w:num w:numId="12">
    <w:abstractNumId w:val="8"/>
  </w:num>
  <w:num w:numId="13">
    <w:abstractNumId w:val="9"/>
  </w:num>
  <w:num w:numId="14">
    <w:abstractNumId w:val="0"/>
  </w:num>
  <w:num w:numId="15">
    <w:abstractNumId w:val="10"/>
  </w:num>
  <w:num w:numId="16">
    <w:abstractNumId w:val="14"/>
  </w:num>
  <w:num w:numId="17">
    <w:abstractNumId w:val="11"/>
  </w:num>
  <w:num w:numId="18">
    <w:abstractNumId w:val="5"/>
  </w:num>
  <w:num w:numId="19">
    <w:abstractNumId w:val="4"/>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5"/>
    <w:rsid w:val="002301CA"/>
    <w:rsid w:val="003723B5"/>
    <w:rsid w:val="00497F7F"/>
    <w:rsid w:val="006A769A"/>
    <w:rsid w:val="0072708D"/>
    <w:rsid w:val="007416C2"/>
    <w:rsid w:val="008D419C"/>
    <w:rsid w:val="008D5B88"/>
    <w:rsid w:val="008E69EC"/>
    <w:rsid w:val="00A6768E"/>
    <w:rsid w:val="00BB7282"/>
    <w:rsid w:val="00E84188"/>
    <w:rsid w:val="00F65814"/>
    <w:rsid w:val="00F7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237C"/>
  <w15:chartTrackingRefBased/>
  <w15:docId w15:val="{7591A597-9D2C-4EF6-944A-58C00F77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3B5"/>
    <w:pPr>
      <w:ind w:left="720"/>
      <w:contextualSpacing/>
    </w:pPr>
  </w:style>
  <w:style w:type="paragraph" w:styleId="BodyTextIndent2">
    <w:name w:val="Body Text Indent 2"/>
    <w:basedOn w:val="Normal"/>
    <w:link w:val="BodyTextIndent2Char"/>
    <w:semiHidden/>
    <w:rsid w:val="006A769A"/>
    <w:pPr>
      <w:spacing w:after="0" w:line="240" w:lineRule="auto"/>
      <w:ind w:left="720" w:hanging="360"/>
    </w:pPr>
    <w:rPr>
      <w:rFonts w:ascii="Comic Sans MS" w:eastAsia="Times New Roman" w:hAnsi="Comic Sans MS" w:cs="Times New Roman"/>
      <w:sz w:val="20"/>
      <w:szCs w:val="24"/>
    </w:rPr>
  </w:style>
  <w:style w:type="character" w:customStyle="1" w:styleId="BodyTextIndent2Char">
    <w:name w:val="Body Text Indent 2 Char"/>
    <w:basedOn w:val="DefaultParagraphFont"/>
    <w:link w:val="BodyTextIndent2"/>
    <w:semiHidden/>
    <w:rsid w:val="006A769A"/>
    <w:rPr>
      <w:rFonts w:ascii="Comic Sans MS" w:eastAsia="Times New Roman" w:hAnsi="Comic Sans MS" w:cs="Times New Roman"/>
      <w:sz w:val="20"/>
      <w:szCs w:val="24"/>
    </w:rPr>
  </w:style>
  <w:style w:type="paragraph" w:customStyle="1" w:styleId="Default">
    <w:name w:val="Default"/>
    <w:rsid w:val="00F7640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7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Earnshaw</dc:creator>
  <cp:keywords/>
  <dc:description/>
  <cp:lastModifiedBy>Amanda Pickavance</cp:lastModifiedBy>
  <cp:revision>4</cp:revision>
  <dcterms:created xsi:type="dcterms:W3CDTF">2023-02-28T14:24:00Z</dcterms:created>
  <dcterms:modified xsi:type="dcterms:W3CDTF">2023-03-13T17:53:00Z</dcterms:modified>
</cp:coreProperties>
</file>