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72" w:rsidRPr="001B7241" w:rsidRDefault="00B05DF5" w:rsidP="00B05DF5">
      <w:pPr>
        <w:jc w:val="center"/>
        <w:rPr>
          <w:b/>
          <w:sz w:val="24"/>
          <w:szCs w:val="24"/>
        </w:rPr>
      </w:pPr>
      <w:bookmarkStart w:id="0" w:name="_GoBack"/>
      <w:bookmarkEnd w:id="0"/>
      <w:r w:rsidRPr="001B7241">
        <w:rPr>
          <w:b/>
          <w:sz w:val="24"/>
          <w:szCs w:val="24"/>
        </w:rPr>
        <w:t>COMPLIANCE – TESTS AND INSPECTIONS</w:t>
      </w:r>
    </w:p>
    <w:p w:rsidR="00B05DF5" w:rsidRPr="003A39A1" w:rsidRDefault="00B05DF5" w:rsidP="00561142">
      <w:pPr>
        <w:ind w:left="-142"/>
        <w:jc w:val="both"/>
        <w:rPr>
          <w:sz w:val="20"/>
          <w:szCs w:val="20"/>
        </w:rPr>
      </w:pPr>
      <w:r w:rsidRPr="003A39A1">
        <w:rPr>
          <w:sz w:val="20"/>
          <w:szCs w:val="20"/>
        </w:rPr>
        <w:t xml:space="preserve">The aim of this document is to provide a summary of relevant responsibilities and to assist </w:t>
      </w:r>
      <w:proofErr w:type="spellStart"/>
      <w:r w:rsidRPr="003A39A1">
        <w:rPr>
          <w:sz w:val="20"/>
          <w:szCs w:val="20"/>
        </w:rPr>
        <w:t>Headteachers</w:t>
      </w:r>
      <w:proofErr w:type="spellEnd"/>
      <w:r w:rsidRPr="003A39A1">
        <w:rPr>
          <w:sz w:val="20"/>
          <w:szCs w:val="20"/>
        </w:rPr>
        <w:t xml:space="preserve">, School Business Managers and Premises Managers in implementing appropriate testing and inspection of systems and equipment within the school premises. Not all items may be applicable to your specific site and the list is in no way definitive, but is a guide covering the key areas. This document cannot replace professional </w:t>
      </w:r>
      <w:r w:rsidR="00561142" w:rsidRPr="003A39A1">
        <w:rPr>
          <w:sz w:val="20"/>
          <w:szCs w:val="20"/>
        </w:rPr>
        <w:t>advice and prem</w:t>
      </w:r>
      <w:r w:rsidRPr="003A39A1">
        <w:rPr>
          <w:sz w:val="20"/>
          <w:szCs w:val="20"/>
        </w:rPr>
        <w:t>ises managers are strongly advised to obtain such advice.</w:t>
      </w:r>
    </w:p>
    <w:tbl>
      <w:tblPr>
        <w:tblStyle w:val="TableGrid"/>
        <w:tblW w:w="22255" w:type="dxa"/>
        <w:tblInd w:w="-714" w:type="dxa"/>
        <w:tblLayout w:type="fixed"/>
        <w:tblLook w:val="04A0" w:firstRow="1" w:lastRow="0" w:firstColumn="1" w:lastColumn="0" w:noHBand="0" w:noVBand="1"/>
      </w:tblPr>
      <w:tblGrid>
        <w:gridCol w:w="709"/>
        <w:gridCol w:w="2835"/>
        <w:gridCol w:w="7711"/>
        <w:gridCol w:w="3346"/>
        <w:gridCol w:w="1701"/>
        <w:gridCol w:w="1276"/>
        <w:gridCol w:w="1559"/>
        <w:gridCol w:w="3118"/>
      </w:tblGrid>
      <w:tr w:rsidR="00964F29" w:rsidTr="001B7241">
        <w:tc>
          <w:tcPr>
            <w:tcW w:w="709" w:type="dxa"/>
            <w:tcBorders>
              <w:bottom w:val="single" w:sz="4" w:space="0" w:color="auto"/>
            </w:tcBorders>
            <w:shd w:val="clear" w:color="auto" w:fill="BFBFBF" w:themeFill="background1" w:themeFillShade="BF"/>
          </w:tcPr>
          <w:p w:rsidR="00B05DF5" w:rsidRPr="00561142" w:rsidRDefault="00B05DF5" w:rsidP="00B05DF5">
            <w:pPr>
              <w:rPr>
                <w:b/>
                <w:sz w:val="20"/>
                <w:szCs w:val="20"/>
              </w:rPr>
            </w:pPr>
          </w:p>
        </w:tc>
        <w:tc>
          <w:tcPr>
            <w:tcW w:w="2835" w:type="dxa"/>
            <w:shd w:val="clear" w:color="auto" w:fill="BFBFBF" w:themeFill="background1" w:themeFillShade="BF"/>
          </w:tcPr>
          <w:p w:rsidR="00B05DF5" w:rsidRPr="00561142" w:rsidRDefault="00B05DF5" w:rsidP="00B05DF5">
            <w:pPr>
              <w:rPr>
                <w:b/>
                <w:sz w:val="20"/>
                <w:szCs w:val="20"/>
              </w:rPr>
            </w:pPr>
            <w:r w:rsidRPr="00561142">
              <w:rPr>
                <w:b/>
                <w:sz w:val="20"/>
                <w:szCs w:val="20"/>
              </w:rPr>
              <w:t>Item</w:t>
            </w:r>
          </w:p>
        </w:tc>
        <w:tc>
          <w:tcPr>
            <w:tcW w:w="7711" w:type="dxa"/>
            <w:shd w:val="clear" w:color="auto" w:fill="BFBFBF" w:themeFill="background1" w:themeFillShade="BF"/>
          </w:tcPr>
          <w:p w:rsidR="00B05DF5" w:rsidRPr="00561142" w:rsidRDefault="00B05DF5" w:rsidP="00B05DF5">
            <w:pPr>
              <w:rPr>
                <w:b/>
                <w:sz w:val="20"/>
                <w:szCs w:val="20"/>
              </w:rPr>
            </w:pPr>
            <w:r w:rsidRPr="00561142">
              <w:rPr>
                <w:b/>
                <w:sz w:val="20"/>
                <w:szCs w:val="20"/>
              </w:rPr>
              <w:t>Guidance</w:t>
            </w:r>
          </w:p>
        </w:tc>
        <w:tc>
          <w:tcPr>
            <w:tcW w:w="3346" w:type="dxa"/>
            <w:shd w:val="clear" w:color="auto" w:fill="BFBFBF" w:themeFill="background1" w:themeFillShade="BF"/>
          </w:tcPr>
          <w:p w:rsidR="00B05DF5" w:rsidRPr="00561142" w:rsidRDefault="00B05DF5" w:rsidP="00B05DF5">
            <w:pPr>
              <w:rPr>
                <w:b/>
                <w:sz w:val="20"/>
                <w:szCs w:val="20"/>
              </w:rPr>
            </w:pPr>
            <w:r w:rsidRPr="00561142">
              <w:rPr>
                <w:b/>
                <w:sz w:val="20"/>
                <w:szCs w:val="20"/>
              </w:rPr>
              <w:t>Frequency</w:t>
            </w:r>
          </w:p>
        </w:tc>
        <w:tc>
          <w:tcPr>
            <w:tcW w:w="1701" w:type="dxa"/>
            <w:shd w:val="clear" w:color="auto" w:fill="BFBFBF" w:themeFill="background1" w:themeFillShade="BF"/>
          </w:tcPr>
          <w:p w:rsidR="00B05DF5" w:rsidRPr="00561142" w:rsidRDefault="00B05DF5" w:rsidP="00B05DF5">
            <w:pPr>
              <w:rPr>
                <w:b/>
                <w:sz w:val="20"/>
                <w:szCs w:val="20"/>
              </w:rPr>
            </w:pPr>
            <w:r w:rsidRPr="00561142">
              <w:rPr>
                <w:b/>
                <w:sz w:val="20"/>
                <w:szCs w:val="20"/>
              </w:rPr>
              <w:t>Date of previous test</w:t>
            </w:r>
            <w:r w:rsidR="00561142" w:rsidRPr="00561142">
              <w:rPr>
                <w:b/>
                <w:sz w:val="20"/>
                <w:szCs w:val="20"/>
              </w:rPr>
              <w:t>/</w:t>
            </w:r>
            <w:r w:rsidRPr="00561142">
              <w:rPr>
                <w:b/>
                <w:sz w:val="20"/>
                <w:szCs w:val="20"/>
              </w:rPr>
              <w:t>inspection</w:t>
            </w:r>
          </w:p>
        </w:tc>
        <w:tc>
          <w:tcPr>
            <w:tcW w:w="1276" w:type="dxa"/>
            <w:shd w:val="clear" w:color="auto" w:fill="BFBFBF" w:themeFill="background1" w:themeFillShade="BF"/>
          </w:tcPr>
          <w:p w:rsidR="00B05DF5" w:rsidRPr="00561142" w:rsidRDefault="00B05DF5" w:rsidP="00B05DF5">
            <w:pPr>
              <w:rPr>
                <w:b/>
                <w:sz w:val="20"/>
                <w:szCs w:val="20"/>
              </w:rPr>
            </w:pPr>
            <w:r w:rsidRPr="00561142">
              <w:rPr>
                <w:b/>
                <w:sz w:val="20"/>
                <w:szCs w:val="20"/>
              </w:rPr>
              <w:t>Carried out by</w:t>
            </w:r>
          </w:p>
        </w:tc>
        <w:tc>
          <w:tcPr>
            <w:tcW w:w="1559" w:type="dxa"/>
            <w:shd w:val="clear" w:color="auto" w:fill="BFBFBF" w:themeFill="background1" w:themeFillShade="BF"/>
          </w:tcPr>
          <w:p w:rsidR="00B05DF5" w:rsidRPr="00561142" w:rsidRDefault="00B05DF5" w:rsidP="00B05DF5">
            <w:pPr>
              <w:rPr>
                <w:b/>
                <w:sz w:val="20"/>
                <w:szCs w:val="20"/>
              </w:rPr>
            </w:pPr>
            <w:r w:rsidRPr="00561142">
              <w:rPr>
                <w:b/>
                <w:sz w:val="20"/>
                <w:szCs w:val="20"/>
              </w:rPr>
              <w:t>Next test/</w:t>
            </w:r>
            <w:r w:rsidR="009B4B5A" w:rsidRPr="00561142">
              <w:rPr>
                <w:b/>
                <w:sz w:val="20"/>
                <w:szCs w:val="20"/>
              </w:rPr>
              <w:t xml:space="preserve"> </w:t>
            </w:r>
            <w:r w:rsidRPr="00561142">
              <w:rPr>
                <w:b/>
                <w:sz w:val="20"/>
                <w:szCs w:val="20"/>
              </w:rPr>
              <w:t>inspection due</w:t>
            </w:r>
          </w:p>
        </w:tc>
        <w:tc>
          <w:tcPr>
            <w:tcW w:w="3118" w:type="dxa"/>
            <w:shd w:val="clear" w:color="auto" w:fill="BFBFBF" w:themeFill="background1" w:themeFillShade="BF"/>
          </w:tcPr>
          <w:p w:rsidR="00B05DF5" w:rsidRPr="00561142" w:rsidRDefault="00B05DF5" w:rsidP="00B05DF5">
            <w:pPr>
              <w:rPr>
                <w:b/>
                <w:sz w:val="20"/>
                <w:szCs w:val="20"/>
              </w:rPr>
            </w:pPr>
            <w:r w:rsidRPr="00561142">
              <w:rPr>
                <w:b/>
                <w:sz w:val="20"/>
                <w:szCs w:val="20"/>
              </w:rPr>
              <w:t>Notes</w:t>
            </w:r>
          </w:p>
        </w:tc>
      </w:tr>
      <w:tr w:rsidR="00561142" w:rsidTr="001B7241">
        <w:tc>
          <w:tcPr>
            <w:tcW w:w="709" w:type="dxa"/>
            <w:vMerge w:val="restart"/>
            <w:shd w:val="clear" w:color="auto" w:fill="C5E0B3" w:themeFill="accent6" w:themeFillTint="66"/>
          </w:tcPr>
          <w:p w:rsidR="00561142" w:rsidRDefault="00561142"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Pr="001B7241" w:rsidRDefault="001B7241" w:rsidP="00B05DF5">
            <w:pPr>
              <w:rPr>
                <w:b/>
                <w:sz w:val="36"/>
                <w:szCs w:val="36"/>
              </w:rPr>
            </w:pPr>
            <w:r w:rsidRPr="001B7241">
              <w:rPr>
                <w:b/>
                <w:sz w:val="36"/>
                <w:szCs w:val="36"/>
              </w:rPr>
              <w:t>B</w:t>
            </w:r>
          </w:p>
        </w:tc>
        <w:tc>
          <w:tcPr>
            <w:tcW w:w="2835" w:type="dxa"/>
          </w:tcPr>
          <w:p w:rsidR="00561142" w:rsidRPr="00561142" w:rsidRDefault="00561142" w:rsidP="00B05DF5">
            <w:pPr>
              <w:rPr>
                <w:b/>
                <w:sz w:val="20"/>
                <w:szCs w:val="20"/>
              </w:rPr>
            </w:pPr>
            <w:r w:rsidRPr="00561142">
              <w:rPr>
                <w:b/>
                <w:sz w:val="20"/>
                <w:szCs w:val="20"/>
              </w:rPr>
              <w:t>Asbestos Inspection</w:t>
            </w:r>
          </w:p>
        </w:tc>
        <w:tc>
          <w:tcPr>
            <w:tcW w:w="7711" w:type="dxa"/>
          </w:tcPr>
          <w:p w:rsidR="00561142" w:rsidRPr="00561142" w:rsidRDefault="00561142" w:rsidP="00B05DF5">
            <w:pPr>
              <w:rPr>
                <w:sz w:val="20"/>
                <w:szCs w:val="20"/>
              </w:rPr>
            </w:pPr>
            <w:r w:rsidRPr="00561142">
              <w:rPr>
                <w:sz w:val="20"/>
                <w:szCs w:val="20"/>
              </w:rPr>
              <w:t>Asbestos Management Plan in in place for buildings built prior to 2000. Remedial work carried out and management regime in place for monitoring and re-inspecting.</w:t>
            </w:r>
          </w:p>
        </w:tc>
        <w:tc>
          <w:tcPr>
            <w:tcW w:w="3346" w:type="dxa"/>
          </w:tcPr>
          <w:p w:rsidR="00561142" w:rsidRPr="00561142" w:rsidRDefault="00561142" w:rsidP="00B05DF5">
            <w:pPr>
              <w:rPr>
                <w:sz w:val="20"/>
                <w:szCs w:val="20"/>
              </w:rPr>
            </w:pPr>
            <w:r w:rsidRPr="00561142">
              <w:rPr>
                <w:sz w:val="20"/>
                <w:szCs w:val="20"/>
              </w:rPr>
              <w:t>As per Asbestos Management Plan. Minimum annual inspection</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C5E0B3" w:themeFill="accent6"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Display Energy Certificate</w:t>
            </w:r>
          </w:p>
        </w:tc>
        <w:tc>
          <w:tcPr>
            <w:tcW w:w="7711" w:type="dxa"/>
          </w:tcPr>
          <w:p w:rsidR="00561142" w:rsidRPr="00561142" w:rsidRDefault="00561142" w:rsidP="00F82096">
            <w:pPr>
              <w:rPr>
                <w:sz w:val="20"/>
                <w:szCs w:val="20"/>
              </w:rPr>
            </w:pPr>
            <w:r w:rsidRPr="00561142">
              <w:rPr>
                <w:sz w:val="20"/>
                <w:szCs w:val="20"/>
              </w:rPr>
              <w:t>Each build over 500m is required to have a DEC displayed in the main entrance and an advisory report available. DECs must be updated annually for buildings over 1,000m and every 10 years for buildings between 500-1,000m. Advisory reports must be updated every 7 years for buildings over 1,000m and every 10 years for buildings between 500-1,000m.</w:t>
            </w:r>
          </w:p>
        </w:tc>
        <w:tc>
          <w:tcPr>
            <w:tcW w:w="3346" w:type="dxa"/>
          </w:tcPr>
          <w:p w:rsidR="00561142" w:rsidRPr="00561142" w:rsidRDefault="00561142" w:rsidP="00B05DF5">
            <w:pPr>
              <w:rPr>
                <w:sz w:val="20"/>
                <w:szCs w:val="20"/>
              </w:rPr>
            </w:pPr>
            <w:r w:rsidRPr="00561142">
              <w:rPr>
                <w:sz w:val="20"/>
                <w:szCs w:val="20"/>
              </w:rPr>
              <w:t>Annual/10 years</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C5E0B3" w:themeFill="accent6"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Dry/Wet Risers</w:t>
            </w:r>
          </w:p>
        </w:tc>
        <w:tc>
          <w:tcPr>
            <w:tcW w:w="7711" w:type="dxa"/>
          </w:tcPr>
          <w:p w:rsidR="00561142" w:rsidRPr="00561142" w:rsidRDefault="00561142" w:rsidP="00B05DF5">
            <w:pPr>
              <w:rPr>
                <w:sz w:val="20"/>
                <w:szCs w:val="20"/>
              </w:rPr>
            </w:pPr>
            <w:r w:rsidRPr="00561142">
              <w:rPr>
                <w:sz w:val="20"/>
                <w:szCs w:val="20"/>
              </w:rPr>
              <w:t xml:space="preserve">Hinges, valves, inlets </w:t>
            </w:r>
            <w:proofErr w:type="spellStart"/>
            <w:r w:rsidRPr="00561142">
              <w:rPr>
                <w:sz w:val="20"/>
                <w:szCs w:val="20"/>
              </w:rPr>
              <w:t>etc</w:t>
            </w:r>
            <w:proofErr w:type="spellEnd"/>
            <w:r w:rsidRPr="00561142">
              <w:rPr>
                <w:sz w:val="20"/>
                <w:szCs w:val="20"/>
              </w:rPr>
              <w:t xml:space="preserve"> should be checked every 6 months. Wet tests and drain downs annually by a specialist.</w:t>
            </w:r>
          </w:p>
        </w:tc>
        <w:tc>
          <w:tcPr>
            <w:tcW w:w="3346" w:type="dxa"/>
          </w:tcPr>
          <w:p w:rsidR="00561142" w:rsidRPr="00561142" w:rsidRDefault="00561142" w:rsidP="00B05DF5">
            <w:pPr>
              <w:rPr>
                <w:sz w:val="20"/>
                <w:szCs w:val="20"/>
              </w:rPr>
            </w:pPr>
            <w:r w:rsidRPr="00561142">
              <w:rPr>
                <w:sz w:val="20"/>
                <w:szCs w:val="20"/>
              </w:rPr>
              <w:t>6 monthly/annual</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C5E0B3" w:themeFill="accent6"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Lifts and Hoists</w:t>
            </w:r>
          </w:p>
        </w:tc>
        <w:tc>
          <w:tcPr>
            <w:tcW w:w="7711" w:type="dxa"/>
          </w:tcPr>
          <w:p w:rsidR="00561142" w:rsidRPr="00561142" w:rsidRDefault="00561142" w:rsidP="00B05DF5">
            <w:pPr>
              <w:rPr>
                <w:sz w:val="20"/>
                <w:szCs w:val="20"/>
              </w:rPr>
            </w:pPr>
            <w:r w:rsidRPr="00561142">
              <w:rPr>
                <w:sz w:val="20"/>
                <w:szCs w:val="20"/>
              </w:rPr>
              <w:t>Thorough examination, full maintenance and inspection of passenger lifts every 6 months. This includes mixed use lifts and escalators. Where a lift is only used to carry goods then this interval can be increased to every 12 months.</w:t>
            </w:r>
          </w:p>
        </w:tc>
        <w:tc>
          <w:tcPr>
            <w:tcW w:w="3346" w:type="dxa"/>
          </w:tcPr>
          <w:p w:rsidR="00561142" w:rsidRPr="00561142" w:rsidRDefault="00561142" w:rsidP="00B05DF5">
            <w:pPr>
              <w:rPr>
                <w:sz w:val="20"/>
                <w:szCs w:val="20"/>
              </w:rPr>
            </w:pPr>
            <w:r w:rsidRPr="00561142">
              <w:rPr>
                <w:sz w:val="20"/>
                <w:szCs w:val="20"/>
              </w:rPr>
              <w:t>6 monthly</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C5E0B3" w:themeFill="accent6"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Powered Pedestrian Doors</w:t>
            </w:r>
          </w:p>
        </w:tc>
        <w:tc>
          <w:tcPr>
            <w:tcW w:w="7711" w:type="dxa"/>
          </w:tcPr>
          <w:p w:rsidR="00561142" w:rsidRPr="00561142" w:rsidRDefault="00561142" w:rsidP="00B05DF5">
            <w:pPr>
              <w:rPr>
                <w:sz w:val="20"/>
                <w:szCs w:val="20"/>
              </w:rPr>
            </w:pPr>
            <w:r w:rsidRPr="00561142">
              <w:rPr>
                <w:sz w:val="20"/>
                <w:szCs w:val="20"/>
              </w:rPr>
              <w:t>Service and check for correct operation every 6 months. Annual Safety Test required.</w:t>
            </w:r>
          </w:p>
        </w:tc>
        <w:tc>
          <w:tcPr>
            <w:tcW w:w="3346" w:type="dxa"/>
          </w:tcPr>
          <w:p w:rsidR="00561142" w:rsidRPr="00561142" w:rsidRDefault="00561142" w:rsidP="00B05DF5">
            <w:pPr>
              <w:rPr>
                <w:sz w:val="20"/>
                <w:szCs w:val="20"/>
              </w:rPr>
            </w:pPr>
            <w:r w:rsidRPr="00561142">
              <w:rPr>
                <w:sz w:val="20"/>
                <w:szCs w:val="20"/>
              </w:rPr>
              <w:t>6 monthly/annual or as manufacturers recommendation</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C5E0B3" w:themeFill="accent6"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Roof Maintenance Plan</w:t>
            </w:r>
          </w:p>
        </w:tc>
        <w:tc>
          <w:tcPr>
            <w:tcW w:w="7711" w:type="dxa"/>
          </w:tcPr>
          <w:p w:rsidR="00561142" w:rsidRPr="00561142" w:rsidRDefault="00561142" w:rsidP="00B05DF5">
            <w:pPr>
              <w:rPr>
                <w:sz w:val="20"/>
                <w:szCs w:val="20"/>
              </w:rPr>
            </w:pPr>
            <w:r w:rsidRPr="00561142">
              <w:rPr>
                <w:sz w:val="20"/>
                <w:szCs w:val="20"/>
              </w:rPr>
              <w:t>A roof inspection plan should be agreed with a roofing company to inspect the roof areas to ensure flashings are in place, RWPs and gutters are clear of debris and not blocked.</w:t>
            </w:r>
          </w:p>
        </w:tc>
        <w:tc>
          <w:tcPr>
            <w:tcW w:w="3346" w:type="dxa"/>
          </w:tcPr>
          <w:p w:rsidR="00561142" w:rsidRPr="00561142" w:rsidRDefault="00561142" w:rsidP="00B05DF5">
            <w:pPr>
              <w:rPr>
                <w:sz w:val="20"/>
                <w:szCs w:val="20"/>
              </w:rPr>
            </w:pPr>
            <w:r w:rsidRPr="00561142">
              <w:rPr>
                <w:sz w:val="20"/>
                <w:szCs w:val="20"/>
              </w:rPr>
              <w:t>3 monthly/6 monthly/annual dependent on building and location</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C5E0B3" w:themeFill="accent6"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Drainage</w:t>
            </w:r>
          </w:p>
        </w:tc>
        <w:tc>
          <w:tcPr>
            <w:tcW w:w="7711" w:type="dxa"/>
          </w:tcPr>
          <w:p w:rsidR="00561142" w:rsidRPr="00561142" w:rsidRDefault="00561142" w:rsidP="00B05DF5">
            <w:pPr>
              <w:rPr>
                <w:sz w:val="20"/>
                <w:szCs w:val="20"/>
              </w:rPr>
            </w:pPr>
            <w:r w:rsidRPr="00561142">
              <w:rPr>
                <w:sz w:val="20"/>
                <w:szCs w:val="20"/>
              </w:rPr>
              <w:t xml:space="preserve">Underground drainage </w:t>
            </w:r>
            <w:proofErr w:type="spellStart"/>
            <w:r w:rsidRPr="00561142">
              <w:rPr>
                <w:sz w:val="20"/>
                <w:szCs w:val="20"/>
              </w:rPr>
              <w:t>gulleys</w:t>
            </w:r>
            <w:proofErr w:type="spellEnd"/>
            <w:r w:rsidRPr="00561142">
              <w:rPr>
                <w:sz w:val="20"/>
                <w:szCs w:val="20"/>
              </w:rPr>
              <w:t xml:space="preserve"> and pipes checked on an annual basis – monthly inspections of </w:t>
            </w:r>
            <w:proofErr w:type="spellStart"/>
            <w:r w:rsidRPr="00561142">
              <w:rPr>
                <w:sz w:val="20"/>
                <w:szCs w:val="20"/>
              </w:rPr>
              <w:t>gulleys</w:t>
            </w:r>
            <w:proofErr w:type="spellEnd"/>
            <w:r w:rsidRPr="00561142">
              <w:rPr>
                <w:sz w:val="20"/>
                <w:szCs w:val="20"/>
              </w:rPr>
              <w:t xml:space="preserve"> to be undertaken.</w:t>
            </w:r>
          </w:p>
        </w:tc>
        <w:tc>
          <w:tcPr>
            <w:tcW w:w="3346" w:type="dxa"/>
          </w:tcPr>
          <w:p w:rsidR="00561142" w:rsidRPr="00561142" w:rsidRDefault="00561142" w:rsidP="00B05DF5">
            <w:pPr>
              <w:rPr>
                <w:sz w:val="20"/>
                <w:szCs w:val="20"/>
              </w:rPr>
            </w:pPr>
            <w:r w:rsidRPr="00561142">
              <w:rPr>
                <w:sz w:val="20"/>
                <w:szCs w:val="20"/>
              </w:rPr>
              <w:t>Annual</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tcBorders>
              <w:bottom w:val="single" w:sz="4" w:space="0" w:color="auto"/>
            </w:tcBorders>
            <w:shd w:val="clear" w:color="auto" w:fill="C5E0B3" w:themeFill="accent6"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Working at Height – Safety Eye Bolts and Cradles</w:t>
            </w:r>
          </w:p>
        </w:tc>
        <w:tc>
          <w:tcPr>
            <w:tcW w:w="7711" w:type="dxa"/>
          </w:tcPr>
          <w:p w:rsidR="00561142" w:rsidRPr="00561142" w:rsidRDefault="00561142" w:rsidP="00B05DF5">
            <w:pPr>
              <w:rPr>
                <w:sz w:val="20"/>
                <w:szCs w:val="20"/>
              </w:rPr>
            </w:pPr>
            <w:r w:rsidRPr="00561142">
              <w:rPr>
                <w:sz w:val="20"/>
                <w:szCs w:val="20"/>
              </w:rPr>
              <w:t>Inspection and Test.</w:t>
            </w:r>
          </w:p>
        </w:tc>
        <w:tc>
          <w:tcPr>
            <w:tcW w:w="3346" w:type="dxa"/>
          </w:tcPr>
          <w:p w:rsidR="00561142" w:rsidRPr="00561142" w:rsidRDefault="00561142" w:rsidP="00B05DF5">
            <w:pPr>
              <w:rPr>
                <w:sz w:val="20"/>
                <w:szCs w:val="20"/>
              </w:rPr>
            </w:pPr>
            <w:r w:rsidRPr="00561142">
              <w:rPr>
                <w:sz w:val="20"/>
                <w:szCs w:val="20"/>
              </w:rPr>
              <w:t>Annual</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val="restart"/>
            <w:shd w:val="clear" w:color="auto" w:fill="9CC2E5" w:themeFill="accent1" w:themeFillTint="99"/>
          </w:tcPr>
          <w:p w:rsidR="00561142" w:rsidRDefault="00561142"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Pr="001B7241" w:rsidRDefault="001B7241" w:rsidP="00B05DF5">
            <w:pPr>
              <w:rPr>
                <w:b/>
                <w:sz w:val="36"/>
                <w:szCs w:val="36"/>
              </w:rPr>
            </w:pPr>
            <w:r>
              <w:rPr>
                <w:b/>
                <w:sz w:val="36"/>
                <w:szCs w:val="36"/>
              </w:rPr>
              <w:t>M</w:t>
            </w:r>
          </w:p>
        </w:tc>
        <w:tc>
          <w:tcPr>
            <w:tcW w:w="2835" w:type="dxa"/>
          </w:tcPr>
          <w:p w:rsidR="00561142" w:rsidRPr="00561142" w:rsidRDefault="00561142" w:rsidP="00B05DF5">
            <w:pPr>
              <w:rPr>
                <w:b/>
                <w:sz w:val="20"/>
                <w:szCs w:val="20"/>
              </w:rPr>
            </w:pPr>
            <w:r w:rsidRPr="00561142">
              <w:rPr>
                <w:b/>
                <w:sz w:val="20"/>
                <w:szCs w:val="20"/>
              </w:rPr>
              <w:t>Gas Boilers and Appliances</w:t>
            </w:r>
          </w:p>
        </w:tc>
        <w:tc>
          <w:tcPr>
            <w:tcW w:w="7711" w:type="dxa"/>
          </w:tcPr>
          <w:p w:rsidR="00561142" w:rsidRPr="00561142" w:rsidRDefault="00561142" w:rsidP="00B05DF5">
            <w:pPr>
              <w:rPr>
                <w:sz w:val="20"/>
                <w:szCs w:val="20"/>
              </w:rPr>
            </w:pPr>
            <w:r w:rsidRPr="00561142">
              <w:rPr>
                <w:sz w:val="20"/>
                <w:szCs w:val="20"/>
              </w:rPr>
              <w:t>Annual service and Test by a Gas-Safe registered engineer.</w:t>
            </w:r>
          </w:p>
        </w:tc>
        <w:tc>
          <w:tcPr>
            <w:tcW w:w="3346" w:type="dxa"/>
          </w:tcPr>
          <w:p w:rsidR="00561142" w:rsidRPr="00561142" w:rsidRDefault="00561142" w:rsidP="00B05DF5">
            <w:pPr>
              <w:rPr>
                <w:sz w:val="20"/>
                <w:szCs w:val="20"/>
              </w:rPr>
            </w:pPr>
            <w:r w:rsidRPr="00561142">
              <w:rPr>
                <w:sz w:val="20"/>
                <w:szCs w:val="20"/>
              </w:rPr>
              <w:t>Annual</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9CC2E5" w:themeFill="accent1" w:themeFillTint="99"/>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Kitchen Gas Services including Canopies</w:t>
            </w:r>
          </w:p>
        </w:tc>
        <w:tc>
          <w:tcPr>
            <w:tcW w:w="7711" w:type="dxa"/>
          </w:tcPr>
          <w:p w:rsidR="00561142" w:rsidRPr="00561142" w:rsidRDefault="00561142" w:rsidP="00B05DF5">
            <w:pPr>
              <w:rPr>
                <w:sz w:val="20"/>
                <w:szCs w:val="20"/>
              </w:rPr>
            </w:pPr>
            <w:r w:rsidRPr="00561142">
              <w:rPr>
                <w:sz w:val="20"/>
                <w:szCs w:val="20"/>
              </w:rPr>
              <w:t>Annual service and Test by a Gas-Safe registered engineer.</w:t>
            </w:r>
          </w:p>
        </w:tc>
        <w:tc>
          <w:tcPr>
            <w:tcW w:w="3346" w:type="dxa"/>
          </w:tcPr>
          <w:p w:rsidR="00561142" w:rsidRPr="00561142" w:rsidRDefault="00561142" w:rsidP="00B05DF5">
            <w:pPr>
              <w:rPr>
                <w:sz w:val="20"/>
                <w:szCs w:val="20"/>
              </w:rPr>
            </w:pPr>
            <w:r w:rsidRPr="00561142">
              <w:rPr>
                <w:sz w:val="20"/>
                <w:szCs w:val="20"/>
              </w:rPr>
              <w:t>Annual</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rPr>
          <w:trHeight w:val="596"/>
        </w:trPr>
        <w:tc>
          <w:tcPr>
            <w:tcW w:w="709" w:type="dxa"/>
            <w:vMerge/>
            <w:shd w:val="clear" w:color="auto" w:fill="9CC2E5" w:themeFill="accent1" w:themeFillTint="99"/>
          </w:tcPr>
          <w:p w:rsidR="00561142" w:rsidRPr="00561142" w:rsidRDefault="00561142" w:rsidP="00B05DF5">
            <w:pPr>
              <w:rPr>
                <w:sz w:val="20"/>
                <w:szCs w:val="20"/>
              </w:rPr>
            </w:pPr>
          </w:p>
        </w:tc>
        <w:tc>
          <w:tcPr>
            <w:tcW w:w="2835" w:type="dxa"/>
            <w:vMerge w:val="restart"/>
          </w:tcPr>
          <w:p w:rsidR="00561142" w:rsidRPr="00561142" w:rsidRDefault="00561142" w:rsidP="00B05DF5">
            <w:pPr>
              <w:rPr>
                <w:b/>
                <w:sz w:val="20"/>
                <w:szCs w:val="20"/>
              </w:rPr>
            </w:pPr>
            <w:r w:rsidRPr="00561142">
              <w:rPr>
                <w:b/>
                <w:sz w:val="20"/>
                <w:szCs w:val="20"/>
              </w:rPr>
              <w:t>Air Conditioning Systems</w:t>
            </w:r>
          </w:p>
        </w:tc>
        <w:tc>
          <w:tcPr>
            <w:tcW w:w="7711" w:type="dxa"/>
          </w:tcPr>
          <w:p w:rsidR="00561142" w:rsidRPr="00561142" w:rsidRDefault="00561142" w:rsidP="00B05DF5">
            <w:pPr>
              <w:rPr>
                <w:sz w:val="20"/>
                <w:szCs w:val="20"/>
              </w:rPr>
            </w:pPr>
            <w:r w:rsidRPr="00561142">
              <w:rPr>
                <w:sz w:val="20"/>
                <w:szCs w:val="20"/>
              </w:rPr>
              <w:t>Air Conditioning Systems with an effective rated output of more than 12kw must be inspected every 5 years by an energy assessor.</w:t>
            </w:r>
          </w:p>
        </w:tc>
        <w:tc>
          <w:tcPr>
            <w:tcW w:w="3346" w:type="dxa"/>
          </w:tcPr>
          <w:p w:rsidR="00561142" w:rsidRPr="00561142" w:rsidRDefault="00561142" w:rsidP="00B05DF5">
            <w:pPr>
              <w:rPr>
                <w:sz w:val="20"/>
                <w:szCs w:val="20"/>
              </w:rPr>
            </w:pPr>
            <w:r w:rsidRPr="00561142">
              <w:rPr>
                <w:sz w:val="20"/>
                <w:szCs w:val="20"/>
              </w:rPr>
              <w:t>5 years</w:t>
            </w:r>
          </w:p>
        </w:tc>
        <w:tc>
          <w:tcPr>
            <w:tcW w:w="1701" w:type="dxa"/>
            <w:vMerge w:val="restart"/>
          </w:tcPr>
          <w:p w:rsidR="00561142" w:rsidRPr="00561142" w:rsidRDefault="00561142" w:rsidP="00B05DF5">
            <w:pPr>
              <w:rPr>
                <w:sz w:val="20"/>
                <w:szCs w:val="20"/>
              </w:rPr>
            </w:pPr>
          </w:p>
        </w:tc>
        <w:tc>
          <w:tcPr>
            <w:tcW w:w="1276" w:type="dxa"/>
            <w:vMerge w:val="restart"/>
          </w:tcPr>
          <w:p w:rsidR="00561142" w:rsidRPr="00561142" w:rsidRDefault="00561142" w:rsidP="00B05DF5">
            <w:pPr>
              <w:rPr>
                <w:sz w:val="20"/>
                <w:szCs w:val="20"/>
              </w:rPr>
            </w:pPr>
          </w:p>
        </w:tc>
        <w:tc>
          <w:tcPr>
            <w:tcW w:w="1559" w:type="dxa"/>
            <w:vMerge w:val="restart"/>
          </w:tcPr>
          <w:p w:rsidR="00561142" w:rsidRPr="00561142" w:rsidRDefault="00561142" w:rsidP="00B05DF5">
            <w:pPr>
              <w:rPr>
                <w:sz w:val="20"/>
                <w:szCs w:val="20"/>
              </w:rPr>
            </w:pPr>
          </w:p>
        </w:tc>
        <w:tc>
          <w:tcPr>
            <w:tcW w:w="3118" w:type="dxa"/>
            <w:vMerge w:val="restart"/>
          </w:tcPr>
          <w:p w:rsidR="00561142" w:rsidRPr="00561142" w:rsidRDefault="00561142" w:rsidP="00B05DF5">
            <w:pPr>
              <w:rPr>
                <w:sz w:val="20"/>
                <w:szCs w:val="20"/>
              </w:rPr>
            </w:pPr>
          </w:p>
        </w:tc>
      </w:tr>
      <w:tr w:rsidR="00561142" w:rsidTr="001B7241">
        <w:trPr>
          <w:trHeight w:val="510"/>
        </w:trPr>
        <w:tc>
          <w:tcPr>
            <w:tcW w:w="709" w:type="dxa"/>
            <w:vMerge/>
            <w:shd w:val="clear" w:color="auto" w:fill="9CC2E5" w:themeFill="accent1" w:themeFillTint="99"/>
          </w:tcPr>
          <w:p w:rsidR="00561142" w:rsidRPr="00561142" w:rsidRDefault="00561142" w:rsidP="00B05DF5">
            <w:pPr>
              <w:rPr>
                <w:sz w:val="20"/>
                <w:szCs w:val="20"/>
              </w:rPr>
            </w:pPr>
          </w:p>
        </w:tc>
        <w:tc>
          <w:tcPr>
            <w:tcW w:w="2835" w:type="dxa"/>
            <w:vMerge/>
          </w:tcPr>
          <w:p w:rsidR="00561142" w:rsidRPr="00561142" w:rsidRDefault="00561142" w:rsidP="00B05DF5">
            <w:pPr>
              <w:rPr>
                <w:b/>
                <w:sz w:val="20"/>
                <w:szCs w:val="20"/>
              </w:rPr>
            </w:pPr>
          </w:p>
        </w:tc>
        <w:tc>
          <w:tcPr>
            <w:tcW w:w="7711" w:type="dxa"/>
          </w:tcPr>
          <w:p w:rsidR="00561142" w:rsidRPr="00561142" w:rsidRDefault="00561142" w:rsidP="00B05DF5">
            <w:pPr>
              <w:rPr>
                <w:sz w:val="20"/>
                <w:szCs w:val="20"/>
              </w:rPr>
            </w:pPr>
            <w:r w:rsidRPr="00561142">
              <w:rPr>
                <w:sz w:val="20"/>
                <w:szCs w:val="20"/>
              </w:rPr>
              <w:t>Annual maintenance is also recommended or as the manufacturers recommendations.</w:t>
            </w:r>
          </w:p>
        </w:tc>
        <w:tc>
          <w:tcPr>
            <w:tcW w:w="3346" w:type="dxa"/>
          </w:tcPr>
          <w:p w:rsidR="00561142" w:rsidRPr="00561142" w:rsidRDefault="00561142" w:rsidP="00B05DF5">
            <w:pPr>
              <w:rPr>
                <w:sz w:val="20"/>
                <w:szCs w:val="20"/>
              </w:rPr>
            </w:pPr>
            <w:r w:rsidRPr="00561142">
              <w:rPr>
                <w:sz w:val="20"/>
                <w:szCs w:val="20"/>
              </w:rPr>
              <w:t>Annual or as manufacturers recommendation</w:t>
            </w:r>
          </w:p>
        </w:tc>
        <w:tc>
          <w:tcPr>
            <w:tcW w:w="1701" w:type="dxa"/>
            <w:vMerge/>
          </w:tcPr>
          <w:p w:rsidR="00561142" w:rsidRPr="00561142" w:rsidRDefault="00561142" w:rsidP="00B05DF5">
            <w:pPr>
              <w:rPr>
                <w:sz w:val="20"/>
                <w:szCs w:val="20"/>
              </w:rPr>
            </w:pPr>
          </w:p>
        </w:tc>
        <w:tc>
          <w:tcPr>
            <w:tcW w:w="1276" w:type="dxa"/>
            <w:vMerge/>
          </w:tcPr>
          <w:p w:rsidR="00561142" w:rsidRPr="00561142" w:rsidRDefault="00561142" w:rsidP="00B05DF5">
            <w:pPr>
              <w:rPr>
                <w:sz w:val="20"/>
                <w:szCs w:val="20"/>
              </w:rPr>
            </w:pPr>
          </w:p>
        </w:tc>
        <w:tc>
          <w:tcPr>
            <w:tcW w:w="1559" w:type="dxa"/>
            <w:vMerge/>
          </w:tcPr>
          <w:p w:rsidR="00561142" w:rsidRPr="00561142" w:rsidRDefault="00561142" w:rsidP="00B05DF5">
            <w:pPr>
              <w:rPr>
                <w:sz w:val="20"/>
                <w:szCs w:val="20"/>
              </w:rPr>
            </w:pPr>
          </w:p>
        </w:tc>
        <w:tc>
          <w:tcPr>
            <w:tcW w:w="3118" w:type="dxa"/>
            <w:vMerge/>
          </w:tcPr>
          <w:p w:rsidR="00561142" w:rsidRPr="00561142" w:rsidRDefault="00561142" w:rsidP="00B05DF5">
            <w:pPr>
              <w:rPr>
                <w:sz w:val="20"/>
                <w:szCs w:val="20"/>
              </w:rPr>
            </w:pPr>
          </w:p>
        </w:tc>
      </w:tr>
      <w:tr w:rsidR="00561142" w:rsidTr="001B7241">
        <w:tc>
          <w:tcPr>
            <w:tcW w:w="709" w:type="dxa"/>
            <w:vMerge/>
            <w:shd w:val="clear" w:color="auto" w:fill="9CC2E5" w:themeFill="accent1" w:themeFillTint="99"/>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Duct Hygiene</w:t>
            </w:r>
          </w:p>
        </w:tc>
        <w:tc>
          <w:tcPr>
            <w:tcW w:w="7711" w:type="dxa"/>
          </w:tcPr>
          <w:p w:rsidR="00561142" w:rsidRPr="00561142" w:rsidRDefault="00561142" w:rsidP="00B05DF5">
            <w:pPr>
              <w:rPr>
                <w:sz w:val="20"/>
                <w:szCs w:val="20"/>
              </w:rPr>
            </w:pPr>
            <w:r w:rsidRPr="00561142">
              <w:rPr>
                <w:sz w:val="20"/>
                <w:szCs w:val="20"/>
              </w:rPr>
              <w:t>Annual inspection and testing – thorough cleaning route determined from testing/inspection results.</w:t>
            </w:r>
          </w:p>
        </w:tc>
        <w:tc>
          <w:tcPr>
            <w:tcW w:w="3346" w:type="dxa"/>
          </w:tcPr>
          <w:p w:rsidR="00561142" w:rsidRPr="00561142" w:rsidRDefault="00561142" w:rsidP="00B05DF5">
            <w:pPr>
              <w:rPr>
                <w:sz w:val="20"/>
                <w:szCs w:val="20"/>
              </w:rPr>
            </w:pPr>
            <w:r w:rsidRPr="00561142">
              <w:rPr>
                <w:sz w:val="20"/>
                <w:szCs w:val="20"/>
              </w:rPr>
              <w:t>Annual</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9CC2E5" w:themeFill="accent1" w:themeFillTint="99"/>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Extraction Systems, including Fume Cupboards</w:t>
            </w:r>
          </w:p>
        </w:tc>
        <w:tc>
          <w:tcPr>
            <w:tcW w:w="7711" w:type="dxa"/>
          </w:tcPr>
          <w:p w:rsidR="00561142" w:rsidRPr="00561142" w:rsidRDefault="00561142" w:rsidP="00B05DF5">
            <w:pPr>
              <w:rPr>
                <w:sz w:val="20"/>
                <w:szCs w:val="20"/>
              </w:rPr>
            </w:pPr>
            <w:r w:rsidRPr="00561142">
              <w:rPr>
                <w:sz w:val="20"/>
                <w:szCs w:val="20"/>
              </w:rPr>
              <w:t>Local Exhaust Inspection.</w:t>
            </w:r>
          </w:p>
        </w:tc>
        <w:tc>
          <w:tcPr>
            <w:tcW w:w="3346" w:type="dxa"/>
          </w:tcPr>
          <w:p w:rsidR="00561142" w:rsidRPr="00561142" w:rsidRDefault="00561142" w:rsidP="00B05DF5">
            <w:pPr>
              <w:rPr>
                <w:sz w:val="20"/>
                <w:szCs w:val="20"/>
              </w:rPr>
            </w:pPr>
            <w:r w:rsidRPr="00561142">
              <w:rPr>
                <w:sz w:val="20"/>
                <w:szCs w:val="20"/>
              </w:rPr>
              <w:t>Every 14 months</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9CC2E5" w:themeFill="accent1" w:themeFillTint="99"/>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Water Management Risk Assessment</w:t>
            </w:r>
          </w:p>
        </w:tc>
        <w:tc>
          <w:tcPr>
            <w:tcW w:w="7711" w:type="dxa"/>
          </w:tcPr>
          <w:p w:rsidR="00561142" w:rsidRPr="00561142" w:rsidRDefault="00561142" w:rsidP="00B05DF5">
            <w:pPr>
              <w:rPr>
                <w:sz w:val="20"/>
                <w:szCs w:val="20"/>
              </w:rPr>
            </w:pPr>
            <w:r w:rsidRPr="00561142">
              <w:rPr>
                <w:sz w:val="20"/>
                <w:szCs w:val="20"/>
              </w:rPr>
              <w:t>Risk assessment on water system to identify risk of Legionella in accordance with the Control of Legionella Bacteria in Water Systems (L8).</w:t>
            </w:r>
          </w:p>
        </w:tc>
        <w:tc>
          <w:tcPr>
            <w:tcW w:w="3346" w:type="dxa"/>
          </w:tcPr>
          <w:p w:rsidR="00561142" w:rsidRPr="00561142" w:rsidRDefault="00561142" w:rsidP="00B05DF5">
            <w:pPr>
              <w:rPr>
                <w:sz w:val="20"/>
                <w:szCs w:val="20"/>
              </w:rPr>
            </w:pPr>
            <w:r w:rsidRPr="00561142">
              <w:rPr>
                <w:sz w:val="20"/>
                <w:szCs w:val="20"/>
              </w:rPr>
              <w:t>Every 2 years</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tcBorders>
              <w:bottom w:val="single" w:sz="4" w:space="0" w:color="auto"/>
            </w:tcBorders>
            <w:shd w:val="clear" w:color="auto" w:fill="9CC2E5" w:themeFill="accent1" w:themeFillTint="99"/>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Water Management Maintenance</w:t>
            </w:r>
          </w:p>
        </w:tc>
        <w:tc>
          <w:tcPr>
            <w:tcW w:w="7711" w:type="dxa"/>
          </w:tcPr>
          <w:p w:rsidR="00561142" w:rsidRPr="00561142" w:rsidRDefault="00561142" w:rsidP="00B05DF5">
            <w:pPr>
              <w:rPr>
                <w:sz w:val="20"/>
                <w:szCs w:val="20"/>
              </w:rPr>
            </w:pPr>
            <w:r w:rsidRPr="00561142">
              <w:rPr>
                <w:sz w:val="20"/>
                <w:szCs w:val="20"/>
              </w:rPr>
              <w:t>Various checks and maintenance as identified within the Water Management Risk Assessment and in accordance with the Control of Legionella Bacteria in Water Systems (L8).</w:t>
            </w:r>
          </w:p>
        </w:tc>
        <w:tc>
          <w:tcPr>
            <w:tcW w:w="3346" w:type="dxa"/>
          </w:tcPr>
          <w:p w:rsidR="00561142" w:rsidRPr="00561142" w:rsidRDefault="00561142" w:rsidP="00B05DF5">
            <w:pPr>
              <w:rPr>
                <w:sz w:val="20"/>
                <w:szCs w:val="20"/>
              </w:rPr>
            </w:pPr>
            <w:r w:rsidRPr="00561142">
              <w:rPr>
                <w:sz w:val="20"/>
                <w:szCs w:val="20"/>
              </w:rPr>
              <w:t>Weekly/Monthly/Quarterly/</w:t>
            </w:r>
          </w:p>
          <w:p w:rsidR="00561142" w:rsidRPr="00561142" w:rsidRDefault="00561142" w:rsidP="00B05DF5">
            <w:pPr>
              <w:rPr>
                <w:sz w:val="20"/>
                <w:szCs w:val="20"/>
              </w:rPr>
            </w:pPr>
            <w:r w:rsidRPr="00561142">
              <w:rPr>
                <w:sz w:val="20"/>
                <w:szCs w:val="20"/>
              </w:rPr>
              <w:t>6 monthly/Annually</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val="restart"/>
            <w:shd w:val="clear" w:color="auto" w:fill="F7CAAC" w:themeFill="accent2" w:themeFillTint="66"/>
          </w:tcPr>
          <w:p w:rsidR="00561142" w:rsidRDefault="00561142"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Default="001B7241" w:rsidP="00B05DF5">
            <w:pPr>
              <w:rPr>
                <w:sz w:val="20"/>
                <w:szCs w:val="20"/>
              </w:rPr>
            </w:pPr>
          </w:p>
          <w:p w:rsidR="001B7241" w:rsidRPr="001B7241" w:rsidRDefault="001B7241" w:rsidP="00B05DF5">
            <w:pPr>
              <w:rPr>
                <w:b/>
                <w:sz w:val="36"/>
                <w:szCs w:val="36"/>
              </w:rPr>
            </w:pPr>
            <w:r>
              <w:rPr>
                <w:b/>
                <w:sz w:val="36"/>
                <w:szCs w:val="36"/>
              </w:rPr>
              <w:t>E</w:t>
            </w:r>
          </w:p>
        </w:tc>
        <w:tc>
          <w:tcPr>
            <w:tcW w:w="2835" w:type="dxa"/>
          </w:tcPr>
          <w:p w:rsidR="00561142" w:rsidRPr="00561142" w:rsidRDefault="00561142" w:rsidP="00B05DF5">
            <w:pPr>
              <w:rPr>
                <w:b/>
                <w:sz w:val="20"/>
                <w:szCs w:val="20"/>
              </w:rPr>
            </w:pPr>
            <w:r w:rsidRPr="00561142">
              <w:rPr>
                <w:b/>
                <w:sz w:val="20"/>
                <w:szCs w:val="20"/>
              </w:rPr>
              <w:t>Fixed Electrical Wiring Installation Test</w:t>
            </w:r>
          </w:p>
        </w:tc>
        <w:tc>
          <w:tcPr>
            <w:tcW w:w="7711" w:type="dxa"/>
          </w:tcPr>
          <w:p w:rsidR="00561142" w:rsidRPr="00561142" w:rsidRDefault="00561142" w:rsidP="00B05DF5">
            <w:pPr>
              <w:rPr>
                <w:sz w:val="20"/>
                <w:szCs w:val="20"/>
              </w:rPr>
            </w:pPr>
            <w:r w:rsidRPr="00561142">
              <w:rPr>
                <w:sz w:val="20"/>
                <w:szCs w:val="20"/>
              </w:rPr>
              <w:t>Testing of all fixed wiring and all distribution boards.</w:t>
            </w:r>
          </w:p>
        </w:tc>
        <w:tc>
          <w:tcPr>
            <w:tcW w:w="3346" w:type="dxa"/>
          </w:tcPr>
          <w:p w:rsidR="00561142" w:rsidRPr="00561142" w:rsidRDefault="00561142" w:rsidP="00B05DF5">
            <w:pPr>
              <w:rPr>
                <w:sz w:val="20"/>
                <w:szCs w:val="20"/>
              </w:rPr>
            </w:pPr>
            <w:r w:rsidRPr="00561142">
              <w:rPr>
                <w:sz w:val="20"/>
                <w:szCs w:val="20"/>
              </w:rPr>
              <w:t>5 years or as recommended in previous test</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F7CAAC" w:themeFill="accent2"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Emergency Lighting</w:t>
            </w:r>
          </w:p>
        </w:tc>
        <w:tc>
          <w:tcPr>
            <w:tcW w:w="7711" w:type="dxa"/>
          </w:tcPr>
          <w:p w:rsidR="00561142" w:rsidRPr="00561142" w:rsidRDefault="00561142" w:rsidP="00B05DF5">
            <w:pPr>
              <w:rPr>
                <w:sz w:val="20"/>
                <w:szCs w:val="20"/>
              </w:rPr>
            </w:pPr>
            <w:r w:rsidRPr="00561142">
              <w:rPr>
                <w:sz w:val="20"/>
                <w:szCs w:val="20"/>
              </w:rPr>
              <w:t xml:space="preserve">Monthly check by a competent person. Each light to be checked as functional by simulating a power failure. Annual test as monthly test, but the lighting to be tested for its full backup duration. </w:t>
            </w:r>
          </w:p>
        </w:tc>
        <w:tc>
          <w:tcPr>
            <w:tcW w:w="3346" w:type="dxa"/>
          </w:tcPr>
          <w:p w:rsidR="00561142" w:rsidRPr="00561142" w:rsidRDefault="00561142" w:rsidP="00B05DF5">
            <w:pPr>
              <w:rPr>
                <w:sz w:val="20"/>
                <w:szCs w:val="20"/>
              </w:rPr>
            </w:pPr>
            <w:r w:rsidRPr="00561142">
              <w:rPr>
                <w:sz w:val="20"/>
                <w:szCs w:val="20"/>
              </w:rPr>
              <w:t>Monthly/6 monthly/Annually/3 yearly</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F7CAAC" w:themeFill="accent2"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Electrical Stage Lighting</w:t>
            </w:r>
          </w:p>
        </w:tc>
        <w:tc>
          <w:tcPr>
            <w:tcW w:w="7711" w:type="dxa"/>
          </w:tcPr>
          <w:p w:rsidR="00561142" w:rsidRPr="00561142" w:rsidRDefault="00561142" w:rsidP="00B05DF5">
            <w:pPr>
              <w:rPr>
                <w:sz w:val="20"/>
                <w:szCs w:val="20"/>
              </w:rPr>
            </w:pPr>
            <w:r w:rsidRPr="00561142">
              <w:rPr>
                <w:sz w:val="20"/>
                <w:szCs w:val="20"/>
              </w:rPr>
              <w:t>Inspection and test.</w:t>
            </w:r>
          </w:p>
        </w:tc>
        <w:tc>
          <w:tcPr>
            <w:tcW w:w="3346" w:type="dxa"/>
          </w:tcPr>
          <w:p w:rsidR="00561142" w:rsidRPr="00561142" w:rsidRDefault="00561142" w:rsidP="00B05DF5">
            <w:pPr>
              <w:rPr>
                <w:sz w:val="20"/>
                <w:szCs w:val="20"/>
              </w:rPr>
            </w:pPr>
            <w:r w:rsidRPr="00561142">
              <w:rPr>
                <w:sz w:val="20"/>
                <w:szCs w:val="20"/>
              </w:rPr>
              <w:t>Annually</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F7CAAC" w:themeFill="accent2"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Lightning Conductors</w:t>
            </w:r>
          </w:p>
        </w:tc>
        <w:tc>
          <w:tcPr>
            <w:tcW w:w="7711" w:type="dxa"/>
          </w:tcPr>
          <w:p w:rsidR="00561142" w:rsidRPr="00561142" w:rsidRDefault="00561142" w:rsidP="00B05DF5">
            <w:pPr>
              <w:rPr>
                <w:sz w:val="20"/>
                <w:szCs w:val="20"/>
              </w:rPr>
            </w:pPr>
            <w:r w:rsidRPr="00561142">
              <w:rPr>
                <w:sz w:val="20"/>
                <w:szCs w:val="20"/>
              </w:rPr>
              <w:t>Inspection and test carried out by a specialist engineer/electrician.</w:t>
            </w:r>
          </w:p>
        </w:tc>
        <w:tc>
          <w:tcPr>
            <w:tcW w:w="3346" w:type="dxa"/>
          </w:tcPr>
          <w:p w:rsidR="00561142" w:rsidRPr="00561142" w:rsidRDefault="00561142" w:rsidP="00B05DF5">
            <w:pPr>
              <w:rPr>
                <w:sz w:val="20"/>
                <w:szCs w:val="20"/>
              </w:rPr>
            </w:pPr>
            <w:r w:rsidRPr="00561142">
              <w:rPr>
                <w:sz w:val="20"/>
                <w:szCs w:val="20"/>
              </w:rPr>
              <w:t>Every 11 months</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F7CAAC" w:themeFill="accent2"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Portable Appliance Testing</w:t>
            </w:r>
          </w:p>
        </w:tc>
        <w:tc>
          <w:tcPr>
            <w:tcW w:w="7711" w:type="dxa"/>
          </w:tcPr>
          <w:p w:rsidR="00561142" w:rsidRPr="00561142" w:rsidRDefault="00561142" w:rsidP="00964F29">
            <w:pPr>
              <w:rPr>
                <w:sz w:val="20"/>
                <w:szCs w:val="20"/>
              </w:rPr>
            </w:pPr>
            <w:r w:rsidRPr="00561142">
              <w:rPr>
                <w:sz w:val="20"/>
                <w:szCs w:val="20"/>
              </w:rPr>
              <w:t>Portable appliances must be tested on the correct frequency and labelled and dated to confirm the test according to the Electricity at Work regulations 1989, and in accordance with the IEE Code of Practice for Service Inspection and testing of Electrical Equipment.</w:t>
            </w:r>
          </w:p>
        </w:tc>
        <w:tc>
          <w:tcPr>
            <w:tcW w:w="3346" w:type="dxa"/>
          </w:tcPr>
          <w:p w:rsidR="00561142" w:rsidRPr="00561142" w:rsidRDefault="00561142" w:rsidP="00B05DF5">
            <w:pPr>
              <w:rPr>
                <w:sz w:val="20"/>
                <w:szCs w:val="20"/>
              </w:rPr>
            </w:pPr>
            <w:r w:rsidRPr="00561142">
              <w:rPr>
                <w:sz w:val="20"/>
                <w:szCs w:val="20"/>
              </w:rPr>
              <w:t>Annual</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F7CAAC" w:themeFill="accent2"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Fire Safety Risk Assessment</w:t>
            </w:r>
          </w:p>
        </w:tc>
        <w:tc>
          <w:tcPr>
            <w:tcW w:w="7711" w:type="dxa"/>
          </w:tcPr>
          <w:p w:rsidR="00561142" w:rsidRPr="00561142" w:rsidRDefault="00561142" w:rsidP="00B05DF5">
            <w:pPr>
              <w:rPr>
                <w:sz w:val="20"/>
                <w:szCs w:val="20"/>
              </w:rPr>
            </w:pPr>
            <w:r w:rsidRPr="00561142">
              <w:rPr>
                <w:sz w:val="20"/>
                <w:szCs w:val="20"/>
              </w:rPr>
              <w:t>A F</w:t>
            </w:r>
            <w:r w:rsidR="003A39A1">
              <w:rPr>
                <w:sz w:val="20"/>
                <w:szCs w:val="20"/>
              </w:rPr>
              <w:t>ire Risk Assessment is required.</w:t>
            </w:r>
          </w:p>
        </w:tc>
        <w:tc>
          <w:tcPr>
            <w:tcW w:w="3346" w:type="dxa"/>
          </w:tcPr>
          <w:p w:rsidR="00561142" w:rsidRPr="00561142" w:rsidRDefault="00561142" w:rsidP="00B05DF5">
            <w:pPr>
              <w:rPr>
                <w:sz w:val="20"/>
                <w:szCs w:val="20"/>
              </w:rPr>
            </w:pPr>
            <w:r w:rsidRPr="00561142">
              <w:rPr>
                <w:sz w:val="20"/>
                <w:szCs w:val="20"/>
              </w:rPr>
              <w:t>Annual and following any changes</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F7CAAC" w:themeFill="accent2"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Fire Test Alarms (Audible)</w:t>
            </w:r>
          </w:p>
        </w:tc>
        <w:tc>
          <w:tcPr>
            <w:tcW w:w="7711" w:type="dxa"/>
          </w:tcPr>
          <w:p w:rsidR="00561142" w:rsidRPr="00561142" w:rsidRDefault="00561142" w:rsidP="00B05DF5">
            <w:pPr>
              <w:rPr>
                <w:sz w:val="20"/>
                <w:szCs w:val="20"/>
              </w:rPr>
            </w:pPr>
            <w:r w:rsidRPr="00561142">
              <w:rPr>
                <w:sz w:val="20"/>
                <w:szCs w:val="20"/>
              </w:rPr>
              <w:t>Fire Alarm to be tested weekly using different call points.</w:t>
            </w:r>
          </w:p>
        </w:tc>
        <w:tc>
          <w:tcPr>
            <w:tcW w:w="3346" w:type="dxa"/>
          </w:tcPr>
          <w:p w:rsidR="00561142" w:rsidRPr="00561142" w:rsidRDefault="00561142" w:rsidP="00B05DF5">
            <w:pPr>
              <w:rPr>
                <w:sz w:val="20"/>
                <w:szCs w:val="20"/>
              </w:rPr>
            </w:pPr>
            <w:r w:rsidRPr="00561142">
              <w:rPr>
                <w:sz w:val="20"/>
                <w:szCs w:val="20"/>
              </w:rPr>
              <w:t>Weekly</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F7CAAC" w:themeFill="accent2" w:themeFillTint="66"/>
          </w:tcPr>
          <w:p w:rsidR="00561142" w:rsidRPr="00561142" w:rsidRDefault="00561142" w:rsidP="00B05DF5">
            <w:pPr>
              <w:rPr>
                <w:sz w:val="20"/>
                <w:szCs w:val="20"/>
              </w:rPr>
            </w:pPr>
          </w:p>
        </w:tc>
        <w:tc>
          <w:tcPr>
            <w:tcW w:w="2835" w:type="dxa"/>
          </w:tcPr>
          <w:p w:rsidR="00561142" w:rsidRPr="00561142" w:rsidRDefault="00561142" w:rsidP="003A39A1">
            <w:pPr>
              <w:rPr>
                <w:b/>
                <w:sz w:val="20"/>
                <w:szCs w:val="20"/>
              </w:rPr>
            </w:pPr>
            <w:r w:rsidRPr="00561142">
              <w:rPr>
                <w:b/>
                <w:sz w:val="20"/>
                <w:szCs w:val="20"/>
              </w:rPr>
              <w:t xml:space="preserve">Fire Alarms Test (devices, </w:t>
            </w:r>
            <w:r w:rsidR="003A39A1">
              <w:rPr>
                <w:b/>
                <w:sz w:val="20"/>
                <w:szCs w:val="20"/>
              </w:rPr>
              <w:t xml:space="preserve">call points, </w:t>
            </w:r>
            <w:r w:rsidRPr="00561142">
              <w:rPr>
                <w:b/>
                <w:sz w:val="20"/>
                <w:szCs w:val="20"/>
              </w:rPr>
              <w:t>detectors, sounders)</w:t>
            </w:r>
          </w:p>
        </w:tc>
        <w:tc>
          <w:tcPr>
            <w:tcW w:w="7711" w:type="dxa"/>
          </w:tcPr>
          <w:p w:rsidR="00561142" w:rsidRPr="00561142" w:rsidRDefault="00561142" w:rsidP="00B05DF5">
            <w:pPr>
              <w:rPr>
                <w:sz w:val="20"/>
                <w:szCs w:val="20"/>
              </w:rPr>
            </w:pPr>
            <w:r w:rsidRPr="00561142">
              <w:rPr>
                <w:sz w:val="20"/>
                <w:szCs w:val="20"/>
              </w:rPr>
              <w:t>Tests usually carried out on all devices, call points, detectors and sounders by a specialist engineer/electrician.</w:t>
            </w:r>
          </w:p>
        </w:tc>
        <w:tc>
          <w:tcPr>
            <w:tcW w:w="3346" w:type="dxa"/>
          </w:tcPr>
          <w:p w:rsidR="00561142" w:rsidRPr="00561142" w:rsidRDefault="00561142" w:rsidP="00B05DF5">
            <w:pPr>
              <w:rPr>
                <w:sz w:val="20"/>
                <w:szCs w:val="20"/>
              </w:rPr>
            </w:pPr>
            <w:r w:rsidRPr="00561142">
              <w:rPr>
                <w:sz w:val="20"/>
                <w:szCs w:val="20"/>
              </w:rPr>
              <w:t>3 monthly/Annual</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F7CAAC" w:themeFill="accent2"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Fire Alarms Test (Full)</w:t>
            </w:r>
          </w:p>
        </w:tc>
        <w:tc>
          <w:tcPr>
            <w:tcW w:w="7711" w:type="dxa"/>
          </w:tcPr>
          <w:p w:rsidR="00561142" w:rsidRPr="00561142" w:rsidRDefault="00561142" w:rsidP="00B05DF5">
            <w:pPr>
              <w:rPr>
                <w:sz w:val="20"/>
                <w:szCs w:val="20"/>
              </w:rPr>
            </w:pPr>
            <w:r w:rsidRPr="00561142">
              <w:rPr>
                <w:sz w:val="20"/>
                <w:szCs w:val="20"/>
              </w:rPr>
              <w:t>Test carried out by a specialist engineer/electrician.</w:t>
            </w:r>
          </w:p>
        </w:tc>
        <w:tc>
          <w:tcPr>
            <w:tcW w:w="3346" w:type="dxa"/>
          </w:tcPr>
          <w:p w:rsidR="00561142" w:rsidRPr="00561142" w:rsidRDefault="00561142" w:rsidP="00B05DF5">
            <w:pPr>
              <w:rPr>
                <w:sz w:val="20"/>
                <w:szCs w:val="20"/>
              </w:rPr>
            </w:pPr>
            <w:r w:rsidRPr="00561142">
              <w:rPr>
                <w:sz w:val="20"/>
                <w:szCs w:val="20"/>
              </w:rPr>
              <w:t>5 years</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F7CAAC" w:themeFill="accent2"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Sprinkler System</w:t>
            </w:r>
          </w:p>
        </w:tc>
        <w:tc>
          <w:tcPr>
            <w:tcW w:w="7711" w:type="dxa"/>
          </w:tcPr>
          <w:p w:rsidR="00561142" w:rsidRPr="00561142" w:rsidRDefault="00561142" w:rsidP="00B05DF5">
            <w:pPr>
              <w:rPr>
                <w:sz w:val="20"/>
                <w:szCs w:val="20"/>
              </w:rPr>
            </w:pPr>
            <w:r w:rsidRPr="00561142">
              <w:rPr>
                <w:sz w:val="20"/>
                <w:szCs w:val="20"/>
              </w:rPr>
              <w:t>Inspection and testing of fire sprinkler system.</w:t>
            </w:r>
          </w:p>
        </w:tc>
        <w:tc>
          <w:tcPr>
            <w:tcW w:w="3346" w:type="dxa"/>
          </w:tcPr>
          <w:p w:rsidR="00561142" w:rsidRPr="00561142" w:rsidRDefault="00561142" w:rsidP="00B05DF5">
            <w:pPr>
              <w:rPr>
                <w:sz w:val="20"/>
                <w:szCs w:val="20"/>
              </w:rPr>
            </w:pPr>
            <w:r w:rsidRPr="00561142">
              <w:rPr>
                <w:sz w:val="20"/>
                <w:szCs w:val="20"/>
              </w:rPr>
              <w:t>Annual or as manufacturers recommendation</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r w:rsidR="00561142" w:rsidTr="001B7241">
        <w:tc>
          <w:tcPr>
            <w:tcW w:w="709" w:type="dxa"/>
            <w:vMerge/>
            <w:shd w:val="clear" w:color="auto" w:fill="F7CAAC" w:themeFill="accent2" w:themeFillTint="66"/>
          </w:tcPr>
          <w:p w:rsidR="00561142" w:rsidRPr="00561142" w:rsidRDefault="00561142" w:rsidP="00B05DF5">
            <w:pPr>
              <w:rPr>
                <w:sz w:val="20"/>
                <w:szCs w:val="20"/>
              </w:rPr>
            </w:pPr>
          </w:p>
        </w:tc>
        <w:tc>
          <w:tcPr>
            <w:tcW w:w="2835" w:type="dxa"/>
          </w:tcPr>
          <w:p w:rsidR="00561142" w:rsidRPr="00561142" w:rsidRDefault="00561142" w:rsidP="00B05DF5">
            <w:pPr>
              <w:rPr>
                <w:b/>
                <w:sz w:val="20"/>
                <w:szCs w:val="20"/>
              </w:rPr>
            </w:pPr>
            <w:r w:rsidRPr="00561142">
              <w:rPr>
                <w:b/>
                <w:sz w:val="20"/>
                <w:szCs w:val="20"/>
              </w:rPr>
              <w:t>Portable Fire Fighting Equipment</w:t>
            </w:r>
          </w:p>
        </w:tc>
        <w:tc>
          <w:tcPr>
            <w:tcW w:w="7711" w:type="dxa"/>
          </w:tcPr>
          <w:p w:rsidR="00561142" w:rsidRPr="00561142" w:rsidRDefault="00561142" w:rsidP="00B05DF5">
            <w:pPr>
              <w:rPr>
                <w:sz w:val="20"/>
                <w:szCs w:val="20"/>
              </w:rPr>
            </w:pPr>
            <w:r w:rsidRPr="00561142">
              <w:rPr>
                <w:sz w:val="20"/>
                <w:szCs w:val="20"/>
              </w:rPr>
              <w:t>Weekly check by a competent person and annual service by a specialist engineer.</w:t>
            </w:r>
          </w:p>
        </w:tc>
        <w:tc>
          <w:tcPr>
            <w:tcW w:w="3346" w:type="dxa"/>
          </w:tcPr>
          <w:p w:rsidR="00561142" w:rsidRPr="00561142" w:rsidRDefault="00561142" w:rsidP="00B05DF5">
            <w:pPr>
              <w:rPr>
                <w:sz w:val="20"/>
                <w:szCs w:val="20"/>
              </w:rPr>
            </w:pPr>
            <w:r w:rsidRPr="00561142">
              <w:rPr>
                <w:sz w:val="20"/>
                <w:szCs w:val="20"/>
              </w:rPr>
              <w:t>Annual</w:t>
            </w:r>
          </w:p>
        </w:tc>
        <w:tc>
          <w:tcPr>
            <w:tcW w:w="1701" w:type="dxa"/>
          </w:tcPr>
          <w:p w:rsidR="00561142" w:rsidRPr="00561142" w:rsidRDefault="00561142" w:rsidP="00B05DF5">
            <w:pPr>
              <w:rPr>
                <w:sz w:val="20"/>
                <w:szCs w:val="20"/>
              </w:rPr>
            </w:pPr>
          </w:p>
        </w:tc>
        <w:tc>
          <w:tcPr>
            <w:tcW w:w="1276" w:type="dxa"/>
          </w:tcPr>
          <w:p w:rsidR="00561142" w:rsidRPr="00561142" w:rsidRDefault="00561142" w:rsidP="00B05DF5">
            <w:pPr>
              <w:rPr>
                <w:sz w:val="20"/>
                <w:szCs w:val="20"/>
              </w:rPr>
            </w:pPr>
          </w:p>
        </w:tc>
        <w:tc>
          <w:tcPr>
            <w:tcW w:w="1559" w:type="dxa"/>
          </w:tcPr>
          <w:p w:rsidR="00561142" w:rsidRPr="00561142" w:rsidRDefault="00561142" w:rsidP="00B05DF5">
            <w:pPr>
              <w:rPr>
                <w:sz w:val="20"/>
                <w:szCs w:val="20"/>
              </w:rPr>
            </w:pPr>
          </w:p>
        </w:tc>
        <w:tc>
          <w:tcPr>
            <w:tcW w:w="3118" w:type="dxa"/>
          </w:tcPr>
          <w:p w:rsidR="00561142" w:rsidRPr="00561142" w:rsidRDefault="00561142" w:rsidP="00B05DF5">
            <w:pPr>
              <w:rPr>
                <w:sz w:val="20"/>
                <w:szCs w:val="20"/>
              </w:rPr>
            </w:pPr>
          </w:p>
        </w:tc>
      </w:tr>
    </w:tbl>
    <w:p w:rsidR="00B05DF5" w:rsidRDefault="001B7241" w:rsidP="001B7241">
      <w:pPr>
        <w:tabs>
          <w:tab w:val="left" w:pos="8430"/>
        </w:tabs>
      </w:pPr>
      <w:r>
        <w:tab/>
      </w:r>
    </w:p>
    <w:sectPr w:rsidR="00B05DF5" w:rsidSect="001B7241">
      <w:footerReference w:type="default" r:id="rId7"/>
      <w:pgSz w:w="23811" w:h="16838" w:orient="landscape" w:code="8"/>
      <w:pgMar w:top="28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241" w:rsidRDefault="001B7241" w:rsidP="001B7241">
      <w:pPr>
        <w:spacing w:after="0" w:line="240" w:lineRule="auto"/>
      </w:pPr>
      <w:r>
        <w:separator/>
      </w:r>
    </w:p>
  </w:endnote>
  <w:endnote w:type="continuationSeparator" w:id="0">
    <w:p w:rsidR="001B7241" w:rsidRDefault="001B7241" w:rsidP="001B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241" w:rsidRPr="001B7241" w:rsidRDefault="001B7241" w:rsidP="001B7241">
    <w:pPr>
      <w:pStyle w:val="Footer"/>
      <w:jc w:val="center"/>
      <w:rPr>
        <w:b/>
        <w:sz w:val="20"/>
        <w:szCs w:val="20"/>
      </w:rPr>
    </w:pPr>
    <w:r>
      <w:rPr>
        <w:b/>
        <w:sz w:val="20"/>
        <w:szCs w:val="20"/>
      </w:rPr>
      <w:t xml:space="preserve">KEY: </w:t>
    </w:r>
    <w:r w:rsidRPr="001B7241">
      <w:rPr>
        <w:b/>
        <w:sz w:val="20"/>
        <w:szCs w:val="20"/>
      </w:rPr>
      <w:t>B – Building / M – Mechanical / E – Electrical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241" w:rsidRDefault="001B7241" w:rsidP="001B7241">
      <w:pPr>
        <w:spacing w:after="0" w:line="240" w:lineRule="auto"/>
      </w:pPr>
      <w:r>
        <w:separator/>
      </w:r>
    </w:p>
  </w:footnote>
  <w:footnote w:type="continuationSeparator" w:id="0">
    <w:p w:rsidR="001B7241" w:rsidRDefault="001B7241" w:rsidP="001B72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EC"/>
    <w:rsid w:val="000E69EC"/>
    <w:rsid w:val="001B7241"/>
    <w:rsid w:val="003A39A1"/>
    <w:rsid w:val="004855B6"/>
    <w:rsid w:val="00561142"/>
    <w:rsid w:val="00897372"/>
    <w:rsid w:val="00964F29"/>
    <w:rsid w:val="009B4B5A"/>
    <w:rsid w:val="00A06395"/>
    <w:rsid w:val="00AE65BB"/>
    <w:rsid w:val="00B05DF5"/>
    <w:rsid w:val="00D45755"/>
    <w:rsid w:val="00F8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F678F-91A7-4226-AA2B-72C3EDC5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241"/>
  </w:style>
  <w:style w:type="paragraph" w:styleId="Footer">
    <w:name w:val="footer"/>
    <w:basedOn w:val="Normal"/>
    <w:link w:val="FooterChar"/>
    <w:uiPriority w:val="99"/>
    <w:unhideWhenUsed/>
    <w:rsid w:val="001B7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241"/>
  </w:style>
  <w:style w:type="paragraph" w:styleId="BalloonText">
    <w:name w:val="Balloon Text"/>
    <w:basedOn w:val="Normal"/>
    <w:link w:val="BalloonTextChar"/>
    <w:uiPriority w:val="99"/>
    <w:semiHidden/>
    <w:unhideWhenUsed/>
    <w:rsid w:val="001B7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58B0-C6FD-4809-B65F-2BA344D1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Matthews</dc:creator>
  <cp:keywords/>
  <dc:description/>
  <cp:lastModifiedBy>Kevin Matthews</cp:lastModifiedBy>
  <cp:revision>2</cp:revision>
  <cp:lastPrinted>2019-05-30T13:27:00Z</cp:lastPrinted>
  <dcterms:created xsi:type="dcterms:W3CDTF">2020-07-08T13:00:00Z</dcterms:created>
  <dcterms:modified xsi:type="dcterms:W3CDTF">2020-07-08T13:00:00Z</dcterms:modified>
</cp:coreProperties>
</file>