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00" w:type="dxa"/>
        <w:tblLook w:val="04A0" w:firstRow="1" w:lastRow="0" w:firstColumn="1" w:lastColumn="0" w:noHBand="0" w:noVBand="1"/>
      </w:tblPr>
      <w:tblGrid>
        <w:gridCol w:w="2100"/>
        <w:gridCol w:w="2670"/>
        <w:gridCol w:w="3060"/>
        <w:gridCol w:w="3240"/>
        <w:gridCol w:w="3330"/>
      </w:tblGrid>
      <w:tr w:rsidR="00825C4E" w:rsidRPr="005F6570" w14:paraId="38503605" w14:textId="77777777" w:rsidTr="00C35194">
        <w:trPr>
          <w:trHeight w:val="290"/>
        </w:trPr>
        <w:tc>
          <w:tcPr>
            <w:tcW w:w="4770" w:type="dxa"/>
            <w:gridSpan w:val="2"/>
            <w:tcBorders>
              <w:top w:val="nil"/>
              <w:left w:val="nil"/>
              <w:bottom w:val="nil"/>
              <w:right w:val="nil"/>
            </w:tcBorders>
            <w:noWrap/>
            <w:hideMark/>
          </w:tcPr>
          <w:p w14:paraId="4F063BB9" w14:textId="77777777" w:rsidR="00825C4E" w:rsidRPr="005F6570" w:rsidRDefault="00825C4E" w:rsidP="00C35194">
            <w:pPr>
              <w:widowControl/>
              <w:autoSpaceDE/>
              <w:autoSpaceDN/>
              <w:rPr>
                <w:rFonts w:eastAsia="Times New Roman"/>
                <w:b/>
                <w:bCs/>
                <w:color w:val="000000"/>
                <w:lang w:val="en-GB" w:eastAsia="en-GB"/>
              </w:rPr>
            </w:pPr>
            <w:r w:rsidRPr="005F6570">
              <w:rPr>
                <w:rFonts w:eastAsia="Times New Roman"/>
                <w:b/>
                <w:bCs/>
                <w:color w:val="000000"/>
                <w:lang w:val="en-GB" w:eastAsia="en-GB"/>
              </w:rPr>
              <w:t>Sexual harassment risk assessment form</w:t>
            </w:r>
          </w:p>
        </w:tc>
        <w:tc>
          <w:tcPr>
            <w:tcW w:w="3060" w:type="dxa"/>
            <w:tcBorders>
              <w:top w:val="nil"/>
              <w:left w:val="nil"/>
              <w:bottom w:val="nil"/>
              <w:right w:val="nil"/>
            </w:tcBorders>
            <w:noWrap/>
            <w:hideMark/>
          </w:tcPr>
          <w:p w14:paraId="3D2DFC34" w14:textId="77777777" w:rsidR="00825C4E" w:rsidRPr="005F6570" w:rsidRDefault="00825C4E" w:rsidP="00C35194">
            <w:pPr>
              <w:widowControl/>
              <w:autoSpaceDE/>
              <w:autoSpaceDN/>
              <w:rPr>
                <w:rFonts w:eastAsia="Times New Roman"/>
                <w:b/>
                <w:bCs/>
                <w:color w:val="000000"/>
                <w:lang w:val="en-GB" w:eastAsia="en-GB"/>
              </w:rPr>
            </w:pPr>
          </w:p>
        </w:tc>
        <w:tc>
          <w:tcPr>
            <w:tcW w:w="3240" w:type="dxa"/>
            <w:tcBorders>
              <w:top w:val="nil"/>
              <w:left w:val="nil"/>
              <w:bottom w:val="nil"/>
              <w:right w:val="nil"/>
            </w:tcBorders>
            <w:hideMark/>
          </w:tcPr>
          <w:p w14:paraId="2831221F" w14:textId="77777777" w:rsidR="00825C4E" w:rsidRPr="005F6570" w:rsidRDefault="00825C4E" w:rsidP="00C35194">
            <w:pPr>
              <w:widowControl/>
              <w:autoSpaceDE/>
              <w:autoSpaceDN/>
              <w:rPr>
                <w:rFonts w:ascii="Times New Roman" w:eastAsia="Times New Roman" w:hAnsi="Times New Roman" w:cs="Times New Roman"/>
                <w:sz w:val="20"/>
                <w:szCs w:val="20"/>
                <w:lang w:val="en-GB" w:eastAsia="en-GB"/>
              </w:rPr>
            </w:pPr>
          </w:p>
        </w:tc>
        <w:tc>
          <w:tcPr>
            <w:tcW w:w="3330" w:type="dxa"/>
            <w:tcBorders>
              <w:top w:val="nil"/>
              <w:left w:val="nil"/>
              <w:bottom w:val="nil"/>
              <w:right w:val="nil"/>
            </w:tcBorders>
            <w:hideMark/>
          </w:tcPr>
          <w:p w14:paraId="7FF6C0D2" w14:textId="77777777" w:rsidR="00825C4E" w:rsidRPr="005F6570" w:rsidRDefault="00825C4E" w:rsidP="00C35194">
            <w:pPr>
              <w:widowControl/>
              <w:autoSpaceDE/>
              <w:autoSpaceDN/>
              <w:rPr>
                <w:rFonts w:ascii="Times New Roman" w:eastAsia="Times New Roman" w:hAnsi="Times New Roman" w:cs="Times New Roman"/>
                <w:sz w:val="20"/>
                <w:szCs w:val="20"/>
                <w:lang w:val="en-GB" w:eastAsia="en-GB"/>
              </w:rPr>
            </w:pPr>
          </w:p>
        </w:tc>
      </w:tr>
      <w:tr w:rsidR="000C40EE" w:rsidRPr="005F6570" w14:paraId="54BD4DAC" w14:textId="77777777" w:rsidTr="007C036C">
        <w:trPr>
          <w:trHeight w:val="290"/>
        </w:trPr>
        <w:tc>
          <w:tcPr>
            <w:tcW w:w="2100" w:type="dxa"/>
            <w:tcBorders>
              <w:top w:val="nil"/>
              <w:left w:val="nil"/>
              <w:bottom w:val="nil"/>
              <w:right w:val="nil"/>
            </w:tcBorders>
            <w:noWrap/>
            <w:hideMark/>
          </w:tcPr>
          <w:p w14:paraId="78352FDC" w14:textId="653C12B7" w:rsidR="000C40EE" w:rsidRPr="005F6570" w:rsidRDefault="000C40EE" w:rsidP="00C35194">
            <w:pPr>
              <w:widowControl/>
              <w:autoSpaceDE/>
              <w:autoSpaceDN/>
              <w:rPr>
                <w:rFonts w:eastAsia="Times New Roman"/>
                <w:b/>
                <w:bCs/>
                <w:color w:val="000000"/>
                <w:lang w:val="en-GB" w:eastAsia="en-GB"/>
              </w:rPr>
            </w:pPr>
            <w:r>
              <w:rPr>
                <w:rFonts w:eastAsia="Times New Roman"/>
                <w:b/>
                <w:bCs/>
                <w:color w:val="000000"/>
                <w:lang w:val="en-GB" w:eastAsia="en-GB"/>
              </w:rPr>
              <w:t xml:space="preserve">Name of organisation here </w:t>
            </w:r>
          </w:p>
        </w:tc>
        <w:tc>
          <w:tcPr>
            <w:tcW w:w="12300" w:type="dxa"/>
            <w:gridSpan w:val="4"/>
            <w:tcBorders>
              <w:top w:val="nil"/>
              <w:left w:val="nil"/>
              <w:bottom w:val="nil"/>
              <w:right w:val="nil"/>
            </w:tcBorders>
            <w:noWrap/>
            <w:hideMark/>
          </w:tcPr>
          <w:p w14:paraId="6160AC42" w14:textId="5C4A25EC" w:rsidR="000C40EE" w:rsidRPr="00B42988" w:rsidRDefault="000C40EE" w:rsidP="00C35194">
            <w:pPr>
              <w:widowControl/>
              <w:autoSpaceDE/>
              <w:autoSpaceDN/>
              <w:rPr>
                <w:rFonts w:ascii="Times New Roman" w:eastAsia="Times New Roman" w:hAnsi="Times New Roman" w:cs="Times New Roman"/>
                <w:sz w:val="20"/>
                <w:szCs w:val="20"/>
                <w:highlight w:val="yellow"/>
                <w:lang w:val="en-GB" w:eastAsia="en-GB"/>
              </w:rPr>
            </w:pPr>
            <w:r w:rsidRPr="00B42988">
              <w:rPr>
                <w:rFonts w:eastAsia="Times New Roman"/>
                <w:b/>
                <w:bCs/>
                <w:color w:val="000000"/>
                <w:highlight w:val="yellow"/>
                <w:lang w:val="en-GB" w:eastAsia="en-GB"/>
              </w:rPr>
              <w:t>These are examples only and you should complete a risk assessment consider who is at risk within your organisation, what steps are already in place and what further action in necessary</w:t>
            </w:r>
          </w:p>
        </w:tc>
      </w:tr>
      <w:tr w:rsidR="00825C4E" w:rsidRPr="005F6570" w14:paraId="7278ED59" w14:textId="77777777" w:rsidTr="00C35194">
        <w:trPr>
          <w:trHeight w:val="290"/>
        </w:trPr>
        <w:tc>
          <w:tcPr>
            <w:tcW w:w="4770" w:type="dxa"/>
            <w:gridSpan w:val="2"/>
            <w:tcBorders>
              <w:top w:val="nil"/>
              <w:left w:val="nil"/>
              <w:bottom w:val="nil"/>
              <w:right w:val="nil"/>
            </w:tcBorders>
            <w:noWrap/>
            <w:hideMark/>
          </w:tcPr>
          <w:p w14:paraId="7D599653" w14:textId="77777777" w:rsidR="00825C4E" w:rsidRPr="005F6570" w:rsidRDefault="00825C4E" w:rsidP="00C35194">
            <w:pPr>
              <w:widowControl/>
              <w:autoSpaceDE/>
              <w:autoSpaceDN/>
              <w:rPr>
                <w:rFonts w:eastAsia="Times New Roman"/>
                <w:b/>
                <w:bCs/>
                <w:color w:val="000000"/>
                <w:lang w:val="en-GB" w:eastAsia="en-GB"/>
              </w:rPr>
            </w:pPr>
            <w:r w:rsidRPr="005F6570">
              <w:rPr>
                <w:rFonts w:eastAsia="Times New Roman"/>
                <w:b/>
                <w:bCs/>
                <w:color w:val="000000"/>
                <w:lang w:val="en-GB" w:eastAsia="en-GB"/>
              </w:rPr>
              <w:t>Date o</w:t>
            </w:r>
            <w:r>
              <w:rPr>
                <w:rFonts w:eastAsia="Times New Roman"/>
                <w:b/>
                <w:bCs/>
                <w:color w:val="000000"/>
                <w:lang w:val="en-GB" w:eastAsia="en-GB"/>
              </w:rPr>
              <w:t xml:space="preserve">f assessment:  </w:t>
            </w:r>
          </w:p>
        </w:tc>
        <w:tc>
          <w:tcPr>
            <w:tcW w:w="3060" w:type="dxa"/>
            <w:tcBorders>
              <w:top w:val="nil"/>
              <w:left w:val="nil"/>
              <w:bottom w:val="nil"/>
              <w:right w:val="nil"/>
            </w:tcBorders>
            <w:noWrap/>
            <w:hideMark/>
          </w:tcPr>
          <w:p w14:paraId="70E8DBFF" w14:textId="77777777" w:rsidR="00825C4E" w:rsidRPr="005F6570" w:rsidRDefault="00825C4E" w:rsidP="00C35194">
            <w:pPr>
              <w:widowControl/>
              <w:autoSpaceDE/>
              <w:autoSpaceDN/>
              <w:rPr>
                <w:rFonts w:eastAsia="Times New Roman"/>
                <w:b/>
                <w:bCs/>
                <w:color w:val="000000"/>
                <w:lang w:val="en-GB" w:eastAsia="en-GB"/>
              </w:rPr>
            </w:pPr>
          </w:p>
        </w:tc>
        <w:tc>
          <w:tcPr>
            <w:tcW w:w="3240" w:type="dxa"/>
            <w:tcBorders>
              <w:top w:val="nil"/>
              <w:left w:val="nil"/>
              <w:bottom w:val="nil"/>
              <w:right w:val="nil"/>
            </w:tcBorders>
            <w:hideMark/>
          </w:tcPr>
          <w:p w14:paraId="304CAA91" w14:textId="77777777" w:rsidR="00825C4E" w:rsidRPr="005F6570" w:rsidRDefault="00825C4E" w:rsidP="00C35194">
            <w:pPr>
              <w:widowControl/>
              <w:autoSpaceDE/>
              <w:autoSpaceDN/>
              <w:rPr>
                <w:rFonts w:ascii="Times New Roman" w:eastAsia="Times New Roman" w:hAnsi="Times New Roman" w:cs="Times New Roman"/>
                <w:sz w:val="20"/>
                <w:szCs w:val="20"/>
                <w:lang w:val="en-GB" w:eastAsia="en-GB"/>
              </w:rPr>
            </w:pPr>
          </w:p>
        </w:tc>
        <w:tc>
          <w:tcPr>
            <w:tcW w:w="3330" w:type="dxa"/>
            <w:tcBorders>
              <w:top w:val="nil"/>
              <w:left w:val="nil"/>
              <w:bottom w:val="nil"/>
              <w:right w:val="nil"/>
            </w:tcBorders>
            <w:hideMark/>
          </w:tcPr>
          <w:p w14:paraId="083849EE" w14:textId="77777777" w:rsidR="00825C4E" w:rsidRPr="005F6570" w:rsidRDefault="00825C4E" w:rsidP="00C35194">
            <w:pPr>
              <w:widowControl/>
              <w:autoSpaceDE/>
              <w:autoSpaceDN/>
              <w:rPr>
                <w:rFonts w:ascii="Times New Roman" w:eastAsia="Times New Roman" w:hAnsi="Times New Roman" w:cs="Times New Roman"/>
                <w:sz w:val="20"/>
                <w:szCs w:val="20"/>
                <w:lang w:val="en-GB" w:eastAsia="en-GB"/>
              </w:rPr>
            </w:pPr>
          </w:p>
        </w:tc>
      </w:tr>
      <w:tr w:rsidR="00825C4E" w:rsidRPr="005F6570" w14:paraId="13995E86" w14:textId="77777777" w:rsidTr="00C35194">
        <w:trPr>
          <w:trHeight w:val="580"/>
        </w:trPr>
        <w:tc>
          <w:tcPr>
            <w:tcW w:w="2100" w:type="dxa"/>
            <w:tcBorders>
              <w:top w:val="single" w:sz="4" w:space="0" w:color="auto"/>
              <w:left w:val="single" w:sz="4" w:space="0" w:color="auto"/>
              <w:bottom w:val="single" w:sz="4" w:space="0" w:color="auto"/>
              <w:right w:val="single" w:sz="4" w:space="0" w:color="auto"/>
            </w:tcBorders>
            <w:hideMark/>
          </w:tcPr>
          <w:p w14:paraId="243670E3" w14:textId="77777777" w:rsidR="00825C4E" w:rsidRPr="005F6570" w:rsidRDefault="00825C4E" w:rsidP="00C35194">
            <w:pPr>
              <w:widowControl/>
              <w:autoSpaceDE/>
              <w:autoSpaceDN/>
              <w:rPr>
                <w:rFonts w:eastAsia="Times New Roman"/>
                <w:b/>
                <w:bCs/>
                <w:color w:val="000000"/>
                <w:lang w:val="en-GB" w:eastAsia="en-GB"/>
              </w:rPr>
            </w:pPr>
            <w:r w:rsidRPr="005F6570">
              <w:rPr>
                <w:rFonts w:eastAsia="Times New Roman"/>
                <w:b/>
                <w:bCs/>
                <w:color w:val="000000"/>
                <w:lang w:val="en-GB" w:eastAsia="en-GB"/>
              </w:rPr>
              <w:t>Risk factors:</w:t>
            </w:r>
          </w:p>
        </w:tc>
        <w:tc>
          <w:tcPr>
            <w:tcW w:w="2670" w:type="dxa"/>
            <w:tcBorders>
              <w:top w:val="single" w:sz="4" w:space="0" w:color="auto"/>
              <w:left w:val="nil"/>
              <w:bottom w:val="single" w:sz="4" w:space="0" w:color="auto"/>
              <w:right w:val="single" w:sz="4" w:space="0" w:color="auto"/>
            </w:tcBorders>
            <w:hideMark/>
          </w:tcPr>
          <w:p w14:paraId="57956A30" w14:textId="77777777" w:rsidR="00825C4E" w:rsidRPr="005F6570" w:rsidRDefault="00825C4E" w:rsidP="00C35194">
            <w:pPr>
              <w:widowControl/>
              <w:autoSpaceDE/>
              <w:autoSpaceDN/>
              <w:rPr>
                <w:rFonts w:eastAsia="Times New Roman"/>
                <w:b/>
                <w:bCs/>
                <w:color w:val="000000"/>
                <w:lang w:val="en-GB" w:eastAsia="en-GB"/>
              </w:rPr>
            </w:pPr>
            <w:r w:rsidRPr="005F6570">
              <w:rPr>
                <w:rFonts w:eastAsia="Times New Roman"/>
                <w:b/>
                <w:bCs/>
                <w:color w:val="000000"/>
                <w:lang w:val="en-GB" w:eastAsia="en-GB"/>
              </w:rPr>
              <w:t>Who might be at risk and why (list all that apply):</w:t>
            </w:r>
          </w:p>
        </w:tc>
        <w:tc>
          <w:tcPr>
            <w:tcW w:w="3060" w:type="dxa"/>
            <w:tcBorders>
              <w:top w:val="single" w:sz="4" w:space="0" w:color="auto"/>
              <w:left w:val="nil"/>
              <w:bottom w:val="single" w:sz="4" w:space="0" w:color="auto"/>
              <w:right w:val="single" w:sz="4" w:space="0" w:color="auto"/>
            </w:tcBorders>
            <w:hideMark/>
          </w:tcPr>
          <w:p w14:paraId="1A179658" w14:textId="77777777" w:rsidR="00825C4E" w:rsidRPr="005F6570" w:rsidRDefault="00825C4E" w:rsidP="00C35194">
            <w:pPr>
              <w:widowControl/>
              <w:autoSpaceDE/>
              <w:autoSpaceDN/>
              <w:rPr>
                <w:rFonts w:eastAsia="Times New Roman"/>
                <w:b/>
                <w:bCs/>
                <w:color w:val="000000"/>
                <w:lang w:val="en-GB" w:eastAsia="en-GB"/>
              </w:rPr>
            </w:pPr>
            <w:r w:rsidRPr="005F6570">
              <w:rPr>
                <w:rFonts w:eastAsia="Times New Roman"/>
                <w:b/>
                <w:bCs/>
                <w:color w:val="000000"/>
                <w:lang w:val="en-GB" w:eastAsia="en-GB"/>
              </w:rPr>
              <w:t xml:space="preserve">How we have assessed the risk: </w:t>
            </w:r>
          </w:p>
        </w:tc>
        <w:tc>
          <w:tcPr>
            <w:tcW w:w="3240" w:type="dxa"/>
            <w:tcBorders>
              <w:top w:val="single" w:sz="4" w:space="0" w:color="auto"/>
              <w:left w:val="nil"/>
              <w:bottom w:val="single" w:sz="4" w:space="0" w:color="auto"/>
              <w:right w:val="single" w:sz="4" w:space="0" w:color="auto"/>
            </w:tcBorders>
            <w:hideMark/>
          </w:tcPr>
          <w:p w14:paraId="15EF7ED2" w14:textId="77777777" w:rsidR="00825C4E" w:rsidRPr="005F6570" w:rsidRDefault="00825C4E" w:rsidP="00C35194">
            <w:pPr>
              <w:widowControl/>
              <w:autoSpaceDE/>
              <w:autoSpaceDN/>
              <w:rPr>
                <w:rFonts w:eastAsia="Times New Roman"/>
                <w:b/>
                <w:bCs/>
                <w:color w:val="000000"/>
                <w:lang w:val="en-GB" w:eastAsia="en-GB"/>
              </w:rPr>
            </w:pPr>
            <w:r w:rsidRPr="005F6570">
              <w:rPr>
                <w:rFonts w:eastAsia="Times New Roman"/>
                <w:b/>
                <w:bCs/>
                <w:color w:val="000000"/>
                <w:lang w:val="en-GB" w:eastAsia="en-GB"/>
              </w:rPr>
              <w:t>Steps already taken to reduce those risks:</w:t>
            </w:r>
          </w:p>
        </w:tc>
        <w:tc>
          <w:tcPr>
            <w:tcW w:w="3330" w:type="dxa"/>
            <w:tcBorders>
              <w:top w:val="single" w:sz="4" w:space="0" w:color="auto"/>
              <w:left w:val="nil"/>
              <w:bottom w:val="single" w:sz="4" w:space="0" w:color="auto"/>
              <w:right w:val="single" w:sz="4" w:space="0" w:color="auto"/>
            </w:tcBorders>
            <w:hideMark/>
          </w:tcPr>
          <w:p w14:paraId="1FE0F164" w14:textId="77777777" w:rsidR="00825C4E" w:rsidRPr="005F6570" w:rsidRDefault="00825C4E" w:rsidP="00C35194">
            <w:pPr>
              <w:widowControl/>
              <w:autoSpaceDE/>
              <w:autoSpaceDN/>
              <w:rPr>
                <w:rFonts w:eastAsia="Times New Roman"/>
                <w:b/>
                <w:bCs/>
                <w:color w:val="000000"/>
                <w:lang w:val="en-GB" w:eastAsia="en-GB"/>
              </w:rPr>
            </w:pPr>
            <w:r w:rsidRPr="005F6570">
              <w:rPr>
                <w:rFonts w:eastAsia="Times New Roman"/>
                <w:b/>
                <w:bCs/>
                <w:color w:val="000000"/>
                <w:lang w:val="en-GB" w:eastAsia="en-GB"/>
              </w:rPr>
              <w:t>Further action necessary:</w:t>
            </w:r>
          </w:p>
        </w:tc>
      </w:tr>
      <w:tr w:rsidR="00825C4E" w:rsidRPr="005F6570" w14:paraId="33FD7989" w14:textId="77777777" w:rsidTr="00C35194">
        <w:trPr>
          <w:trHeight w:val="5800"/>
        </w:trPr>
        <w:tc>
          <w:tcPr>
            <w:tcW w:w="2100" w:type="dxa"/>
            <w:tcBorders>
              <w:top w:val="nil"/>
              <w:left w:val="single" w:sz="4" w:space="0" w:color="auto"/>
              <w:bottom w:val="single" w:sz="4" w:space="0" w:color="auto"/>
              <w:right w:val="single" w:sz="4" w:space="0" w:color="auto"/>
            </w:tcBorders>
            <w:hideMark/>
          </w:tcPr>
          <w:p w14:paraId="7DCC024F"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1. Lone</w:t>
            </w:r>
            <w:r>
              <w:rPr>
                <w:rFonts w:eastAsia="Times New Roman"/>
                <w:color w:val="000000"/>
                <w:lang w:val="en-GB" w:eastAsia="en-GB"/>
              </w:rPr>
              <w:t>/isolated</w:t>
            </w:r>
            <w:r w:rsidRPr="005F6570">
              <w:rPr>
                <w:rFonts w:eastAsia="Times New Roman"/>
                <w:color w:val="000000"/>
                <w:lang w:val="en-GB" w:eastAsia="en-GB"/>
              </w:rPr>
              <w:t xml:space="preserve"> working </w:t>
            </w:r>
          </w:p>
        </w:tc>
        <w:tc>
          <w:tcPr>
            <w:tcW w:w="2670" w:type="dxa"/>
            <w:tcBorders>
              <w:top w:val="nil"/>
              <w:left w:val="nil"/>
              <w:bottom w:val="single" w:sz="4" w:space="0" w:color="auto"/>
              <w:right w:val="single" w:sz="4" w:space="0" w:color="auto"/>
            </w:tcBorders>
            <w:hideMark/>
          </w:tcPr>
          <w:p w14:paraId="1681836B"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Staff who work alone may face increased risks of sexual harassment due to limited supervision or support.</w:t>
            </w:r>
          </w:p>
        </w:tc>
        <w:tc>
          <w:tcPr>
            <w:tcW w:w="3060" w:type="dxa"/>
            <w:tcBorders>
              <w:top w:val="nil"/>
              <w:left w:val="nil"/>
              <w:bottom w:val="single" w:sz="4" w:space="0" w:color="auto"/>
              <w:right w:val="single" w:sz="4" w:space="0" w:color="auto"/>
            </w:tcBorders>
            <w:hideMark/>
          </w:tcPr>
          <w:p w14:paraId="019B56F3" w14:textId="16964D52" w:rsidR="00825C4E" w:rsidRPr="005F6570" w:rsidRDefault="00825C4E" w:rsidP="000C40EE">
            <w:pPr>
              <w:widowControl/>
              <w:autoSpaceDE/>
              <w:autoSpaceDN/>
              <w:rPr>
                <w:rFonts w:eastAsia="Times New Roman"/>
                <w:color w:val="000000"/>
                <w:lang w:val="en-GB" w:eastAsia="en-GB"/>
              </w:rPr>
            </w:pPr>
            <w:r w:rsidRPr="005F6570">
              <w:rPr>
                <w:rFonts w:eastAsia="Times New Roman"/>
                <w:color w:val="000000"/>
                <w:lang w:val="en-GB" w:eastAsia="en-GB"/>
              </w:rPr>
              <w:t xml:space="preserve">The organisation has analysed all reported incidents and formal </w:t>
            </w:r>
            <w:proofErr w:type="gramStart"/>
            <w:r w:rsidRPr="005F6570">
              <w:rPr>
                <w:rFonts w:eastAsia="Times New Roman"/>
                <w:color w:val="000000"/>
                <w:lang w:val="en-GB" w:eastAsia="en-GB"/>
              </w:rPr>
              <w:t xml:space="preserve">complaints  </w:t>
            </w:r>
            <w:proofErr w:type="spellStart"/>
            <w:r w:rsidRPr="005F6570">
              <w:rPr>
                <w:rFonts w:eastAsia="Times New Roman"/>
                <w:color w:val="000000"/>
                <w:lang w:val="en-GB" w:eastAsia="en-GB"/>
              </w:rPr>
              <w:t>hat</w:t>
            </w:r>
            <w:proofErr w:type="spellEnd"/>
            <w:proofErr w:type="gramEnd"/>
            <w:r w:rsidRPr="005F6570">
              <w:rPr>
                <w:rFonts w:eastAsia="Times New Roman"/>
                <w:color w:val="000000"/>
                <w:lang w:val="en-GB" w:eastAsia="en-GB"/>
              </w:rPr>
              <w:t xml:space="preserve"> involved sexual </w:t>
            </w:r>
            <w:proofErr w:type="gramStart"/>
            <w:r w:rsidRPr="005F6570">
              <w:rPr>
                <w:rFonts w:eastAsia="Times New Roman"/>
                <w:color w:val="000000"/>
                <w:lang w:val="en-GB" w:eastAsia="en-GB"/>
              </w:rPr>
              <w:t>harassment, and</w:t>
            </w:r>
            <w:proofErr w:type="gramEnd"/>
            <w:r w:rsidRPr="005F6570">
              <w:rPr>
                <w:rFonts w:eastAsia="Times New Roman"/>
                <w:color w:val="000000"/>
                <w:lang w:val="en-GB" w:eastAsia="en-GB"/>
              </w:rPr>
              <w:t xml:space="preserve"> considered the various roles within the organisation and determined there is a higher risk of sexual </w:t>
            </w:r>
            <w:r w:rsidR="000C40EE" w:rsidRPr="005F6570">
              <w:rPr>
                <w:rFonts w:eastAsia="Times New Roman"/>
                <w:color w:val="000000"/>
                <w:lang w:val="en-GB" w:eastAsia="en-GB"/>
              </w:rPr>
              <w:t>harassment</w:t>
            </w:r>
            <w:r w:rsidRPr="005F6570">
              <w:rPr>
                <w:rFonts w:eastAsia="Times New Roman"/>
                <w:color w:val="000000"/>
                <w:lang w:val="en-GB" w:eastAsia="en-GB"/>
              </w:rPr>
              <w:t xml:space="preserve"> while the worker was working alone.</w:t>
            </w:r>
          </w:p>
        </w:tc>
        <w:tc>
          <w:tcPr>
            <w:tcW w:w="3240" w:type="dxa"/>
            <w:tcBorders>
              <w:top w:val="nil"/>
              <w:left w:val="nil"/>
              <w:bottom w:val="single" w:sz="4" w:space="0" w:color="auto"/>
              <w:right w:val="single" w:sz="4" w:space="0" w:color="auto"/>
            </w:tcBorders>
            <w:hideMark/>
          </w:tcPr>
          <w:p w14:paraId="3F6348CC" w14:textId="09F5D623" w:rsidR="00825C4E" w:rsidRPr="005F6570" w:rsidRDefault="00825C4E" w:rsidP="000C40EE">
            <w:pPr>
              <w:widowControl/>
              <w:autoSpaceDE/>
              <w:autoSpaceDN/>
              <w:rPr>
                <w:rFonts w:eastAsia="Times New Roman"/>
                <w:color w:val="000000"/>
                <w:lang w:val="en-GB" w:eastAsia="en-GB"/>
              </w:rPr>
            </w:pPr>
            <w:r w:rsidRPr="005F6570">
              <w:rPr>
                <w:rFonts w:eastAsia="Times New Roman"/>
                <w:color w:val="000000"/>
                <w:lang w:val="en-GB" w:eastAsia="en-GB"/>
              </w:rPr>
              <w:t xml:space="preserve">The organisation has adopted a robust Anti-Sexual </w:t>
            </w:r>
            <w:r w:rsidR="000C40EE" w:rsidRPr="005F6570">
              <w:rPr>
                <w:rFonts w:eastAsia="Times New Roman"/>
                <w:color w:val="000000"/>
                <w:lang w:val="en-GB" w:eastAsia="en-GB"/>
              </w:rPr>
              <w:t>Harassment</w:t>
            </w:r>
            <w:r w:rsidRPr="005F6570">
              <w:rPr>
                <w:rFonts w:eastAsia="Times New Roman"/>
                <w:color w:val="000000"/>
                <w:lang w:val="en-GB" w:eastAsia="en-GB"/>
              </w:rPr>
              <w:t xml:space="preserve"> policy that explicitly addresses se</w:t>
            </w:r>
            <w:r w:rsidRPr="005F6570">
              <w:rPr>
                <w:rFonts w:eastAsia="Times New Roman"/>
                <w:color w:val="000000"/>
                <w:sz w:val="24"/>
                <w:szCs w:val="24"/>
                <w:lang w:val="en-GB" w:eastAsia="en-GB"/>
              </w:rPr>
              <w:t>xual harassment. This policy includes clear examples of sexual harassment, and a comprehensive</w:t>
            </w:r>
            <w:r w:rsidRPr="005F6570">
              <w:rPr>
                <w:rFonts w:eastAsia="Times New Roman"/>
                <w:color w:val="000000"/>
                <w:lang w:val="en-GB" w:eastAsia="en-GB"/>
              </w:rPr>
              <w:t xml:space="preserve"> reporting procedure. The policy is accessible to all staff via the intranet.</w:t>
            </w:r>
          </w:p>
        </w:tc>
        <w:tc>
          <w:tcPr>
            <w:tcW w:w="3330" w:type="dxa"/>
            <w:tcBorders>
              <w:top w:val="nil"/>
              <w:left w:val="nil"/>
              <w:bottom w:val="single" w:sz="4" w:space="0" w:color="auto"/>
              <w:right w:val="single" w:sz="4" w:space="0" w:color="auto"/>
            </w:tcBorders>
            <w:hideMark/>
          </w:tcPr>
          <w:p w14:paraId="5EEC8D81"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(1) Conduct regular check-ins with lone workers to ensure their wellbeing and help identify any potential issues. (2) Consider the implementation of safety measures, such as panic buttons or CCTV cameras, which may serve as deterrents and provide a sense of security. (3) Make efforts to ensure that there are always two members of staff present whenever possible. (4) Provide comprehensive training to staff on recognising and reporting sexual harassment, bystander intervention and the consequences of sexual harassment. This training should focus on creating a supporting environment and empowering staff to speak up. </w:t>
            </w:r>
          </w:p>
        </w:tc>
      </w:tr>
      <w:tr w:rsidR="00825C4E" w:rsidRPr="005F6570" w14:paraId="61A30D95" w14:textId="77777777" w:rsidTr="00C35194">
        <w:trPr>
          <w:trHeight w:val="6380"/>
        </w:trPr>
        <w:tc>
          <w:tcPr>
            <w:tcW w:w="2100" w:type="dxa"/>
            <w:tcBorders>
              <w:top w:val="nil"/>
              <w:left w:val="single" w:sz="4" w:space="0" w:color="auto"/>
              <w:bottom w:val="single" w:sz="4" w:space="0" w:color="auto"/>
              <w:right w:val="single" w:sz="4" w:space="0" w:color="auto"/>
            </w:tcBorders>
            <w:hideMark/>
          </w:tcPr>
          <w:p w14:paraId="1E2C5749"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lastRenderedPageBreak/>
              <w:t>2. Power Imbalances</w:t>
            </w:r>
          </w:p>
        </w:tc>
        <w:tc>
          <w:tcPr>
            <w:tcW w:w="2670" w:type="dxa"/>
            <w:tcBorders>
              <w:top w:val="nil"/>
              <w:left w:val="nil"/>
              <w:bottom w:val="single" w:sz="4" w:space="0" w:color="auto"/>
              <w:right w:val="single" w:sz="4" w:space="0" w:color="auto"/>
            </w:tcBorders>
            <w:hideMark/>
          </w:tcPr>
          <w:p w14:paraId="261D4F2F"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Staff who are in subordinate positions, including junior employees and new recruits, may be at higher risk of experiencing sexual harassment. This is because the power imbalances that exist in such in such relationships can create opportunities for exploitation. It may also be more difficult for individuals in these subordinate positions to speak up due to fear of negative consequences or retaliation. </w:t>
            </w:r>
          </w:p>
        </w:tc>
        <w:tc>
          <w:tcPr>
            <w:tcW w:w="3060" w:type="dxa"/>
            <w:tcBorders>
              <w:top w:val="nil"/>
              <w:left w:val="nil"/>
              <w:bottom w:val="single" w:sz="4" w:space="0" w:color="auto"/>
              <w:right w:val="single" w:sz="4" w:space="0" w:color="auto"/>
            </w:tcBorders>
            <w:hideMark/>
          </w:tcPr>
          <w:p w14:paraId="4D737260"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The organisation has analysed and considered the various roles within the organisation and determined there is a higher risk of sexual harassment for junior employees and new starters.</w:t>
            </w:r>
          </w:p>
        </w:tc>
        <w:tc>
          <w:tcPr>
            <w:tcW w:w="3240" w:type="dxa"/>
            <w:tcBorders>
              <w:top w:val="nil"/>
              <w:left w:val="nil"/>
              <w:bottom w:val="single" w:sz="4" w:space="0" w:color="auto"/>
              <w:right w:val="single" w:sz="4" w:space="0" w:color="auto"/>
            </w:tcBorders>
            <w:hideMark/>
          </w:tcPr>
          <w:p w14:paraId="60F79E78"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The organisation has adopted a robust Anti-Sexual Harassment policy that explicitly addresses sexual harassment. This policy includes clear examples of sexual harassment and a comprehensive reporting procedure. The policy contains multiple reporting channels to ensure that staff can safely report incidents of sexual harassment, even if the harasser is in a position of power. The inclusion of multiple reporting channels ensures impartiality and protection against negative consequences or retaliation. The policy is accessible to all staff via the intranet. </w:t>
            </w:r>
          </w:p>
        </w:tc>
        <w:tc>
          <w:tcPr>
            <w:tcW w:w="3330" w:type="dxa"/>
            <w:tcBorders>
              <w:top w:val="nil"/>
              <w:left w:val="nil"/>
              <w:bottom w:val="single" w:sz="4" w:space="0" w:color="auto"/>
              <w:right w:val="single" w:sz="4" w:space="0" w:color="auto"/>
            </w:tcBorders>
            <w:hideMark/>
          </w:tcPr>
          <w:p w14:paraId="16875A62"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(1) Provide comprehensive training to staff on recognising and reporting sexual harassment, bystander intervention and the consequences of sexual harassment. This training should also cover power imbalances and how they can contribute to sexual harassment. (2) Provide additional training for managers that is aimed at preventing abuses of power and their role in preventing and stopping bullying and harassment from occurring in the workplace. (3) Ensure managers involved in handling sexual harassment complaints are given appropriate training to address the complexities of cases involving power imbalances and the need to be independent and not influenced by any conflicts of interests. </w:t>
            </w:r>
          </w:p>
        </w:tc>
      </w:tr>
      <w:tr w:rsidR="00825C4E" w:rsidRPr="005F6570" w14:paraId="052947C2" w14:textId="77777777" w:rsidTr="00C35194">
        <w:trPr>
          <w:trHeight w:val="5220"/>
        </w:trPr>
        <w:tc>
          <w:tcPr>
            <w:tcW w:w="2100" w:type="dxa"/>
            <w:tcBorders>
              <w:top w:val="nil"/>
              <w:left w:val="single" w:sz="4" w:space="0" w:color="auto"/>
              <w:bottom w:val="single" w:sz="4" w:space="0" w:color="auto"/>
              <w:right w:val="single" w:sz="4" w:space="0" w:color="auto"/>
            </w:tcBorders>
            <w:hideMark/>
          </w:tcPr>
          <w:p w14:paraId="474CFEDF"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lastRenderedPageBreak/>
              <w:t>3. Presence of alcohol</w:t>
            </w:r>
          </w:p>
        </w:tc>
        <w:tc>
          <w:tcPr>
            <w:tcW w:w="2670" w:type="dxa"/>
            <w:tcBorders>
              <w:top w:val="nil"/>
              <w:left w:val="nil"/>
              <w:bottom w:val="single" w:sz="4" w:space="0" w:color="auto"/>
              <w:right w:val="single" w:sz="4" w:space="0" w:color="auto"/>
            </w:tcBorders>
            <w:hideMark/>
          </w:tcPr>
          <w:p w14:paraId="6FDA8082"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Staff attending work-related social events/conferences/client events and meetings where alcohol is consumed may be more vulnerable to sexual harassment. Alcohol consumption can impair judgement and lower inhibitions, potentially leading individuals to behave in ways that they would not in a sober state. </w:t>
            </w:r>
          </w:p>
        </w:tc>
        <w:tc>
          <w:tcPr>
            <w:tcW w:w="3060" w:type="dxa"/>
            <w:tcBorders>
              <w:top w:val="nil"/>
              <w:left w:val="nil"/>
              <w:bottom w:val="single" w:sz="4" w:space="0" w:color="auto"/>
              <w:right w:val="single" w:sz="4" w:space="0" w:color="auto"/>
            </w:tcBorders>
            <w:hideMark/>
          </w:tcPr>
          <w:p w14:paraId="2C80F0B7"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The organisation has analysed all reported incidents and formal </w:t>
            </w:r>
            <w:proofErr w:type="gramStart"/>
            <w:r w:rsidRPr="005F6570">
              <w:rPr>
                <w:rFonts w:eastAsia="Times New Roman"/>
                <w:color w:val="000000"/>
                <w:lang w:val="en-GB" w:eastAsia="en-GB"/>
              </w:rPr>
              <w:t>complaints  that</w:t>
            </w:r>
            <w:proofErr w:type="gramEnd"/>
            <w:r w:rsidRPr="005F6570">
              <w:rPr>
                <w:rFonts w:eastAsia="Times New Roman"/>
                <w:color w:val="000000"/>
                <w:lang w:val="en-GB" w:eastAsia="en-GB"/>
              </w:rPr>
              <w:t xml:space="preserve"> involved sexual </w:t>
            </w:r>
            <w:proofErr w:type="gramStart"/>
            <w:r w:rsidRPr="005F6570">
              <w:rPr>
                <w:rFonts w:eastAsia="Times New Roman"/>
                <w:color w:val="000000"/>
                <w:lang w:val="en-GB" w:eastAsia="en-GB"/>
              </w:rPr>
              <w:t>harassment, and</w:t>
            </w:r>
            <w:proofErr w:type="gramEnd"/>
            <w:r w:rsidRPr="005F6570">
              <w:rPr>
                <w:rFonts w:eastAsia="Times New Roman"/>
                <w:color w:val="000000"/>
                <w:lang w:val="en-GB" w:eastAsia="en-GB"/>
              </w:rPr>
              <w:t xml:space="preserve"> considered the various roles within the organisation and determined there is a higher risk of sexual harassment where there is the presence of alcohol.</w:t>
            </w:r>
          </w:p>
        </w:tc>
        <w:tc>
          <w:tcPr>
            <w:tcW w:w="3240" w:type="dxa"/>
            <w:tcBorders>
              <w:top w:val="nil"/>
              <w:left w:val="nil"/>
              <w:bottom w:val="single" w:sz="4" w:space="0" w:color="auto"/>
              <w:right w:val="single" w:sz="4" w:space="0" w:color="auto"/>
            </w:tcBorders>
            <w:hideMark/>
          </w:tcPr>
          <w:p w14:paraId="699F6F20"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The organisation has adopted a robust Anti-Sexual Harassment policy that explicitly addresses sexual harassment. This policy includes clear examples of sexual harassment, and a comprehensive reporting procedure. The organisation has also adopted a Work-related social events policy. This policy sets out the standard of behaviour expected of staff while attending work-related social events and makes it clear that discrimination, bullying or harassment of any kind will not be tolerated. Both policies are accessible to all staff via the intranet.</w:t>
            </w:r>
          </w:p>
        </w:tc>
        <w:tc>
          <w:tcPr>
            <w:tcW w:w="3330" w:type="dxa"/>
            <w:tcBorders>
              <w:top w:val="nil"/>
              <w:left w:val="nil"/>
              <w:bottom w:val="single" w:sz="4" w:space="0" w:color="auto"/>
              <w:right w:val="single" w:sz="4" w:space="0" w:color="auto"/>
            </w:tcBorders>
            <w:hideMark/>
          </w:tcPr>
          <w:p w14:paraId="247705E1"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(1) Prior to any events due to take place, ensure there is appropriate supervision and adequate staffing levels to monitor and address any potential incidents of sexual harassment promptly. (2) Designate specific staff members as points of contact for individuals to report concerns or seek assistance. (3) Arrange appropriate transportation to mitigate any risk. (4) Reinforce relevant policies leading up to these events to remind staff and attendees about the importance of ensuring a safe environment, free from discrimination, bullying or harassment. </w:t>
            </w:r>
          </w:p>
        </w:tc>
      </w:tr>
      <w:tr w:rsidR="00825C4E" w:rsidRPr="005F6570" w14:paraId="54D53167" w14:textId="77777777" w:rsidTr="00C35194">
        <w:trPr>
          <w:trHeight w:val="7250"/>
        </w:trPr>
        <w:tc>
          <w:tcPr>
            <w:tcW w:w="2100" w:type="dxa"/>
            <w:tcBorders>
              <w:top w:val="nil"/>
              <w:left w:val="single" w:sz="4" w:space="0" w:color="auto"/>
              <w:bottom w:val="single" w:sz="4" w:space="0" w:color="auto"/>
              <w:right w:val="single" w:sz="4" w:space="0" w:color="auto"/>
            </w:tcBorders>
            <w:hideMark/>
          </w:tcPr>
          <w:p w14:paraId="1BB287BD"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lastRenderedPageBreak/>
              <w:t xml:space="preserve">4. Third-party contact </w:t>
            </w:r>
          </w:p>
        </w:tc>
        <w:tc>
          <w:tcPr>
            <w:tcW w:w="2670" w:type="dxa"/>
            <w:tcBorders>
              <w:top w:val="nil"/>
              <w:left w:val="nil"/>
              <w:bottom w:val="single" w:sz="4" w:space="0" w:color="auto"/>
              <w:right w:val="single" w:sz="4" w:space="0" w:color="auto"/>
            </w:tcBorders>
            <w:hideMark/>
          </w:tcPr>
          <w:p w14:paraId="2B0E2239"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Staff who regularly </w:t>
            </w:r>
            <w:proofErr w:type="gramStart"/>
            <w:r w:rsidRPr="005F6570">
              <w:rPr>
                <w:rFonts w:eastAsia="Times New Roman"/>
                <w:color w:val="000000"/>
                <w:lang w:val="en-GB" w:eastAsia="en-GB"/>
              </w:rPr>
              <w:t>come into contact with</w:t>
            </w:r>
            <w:proofErr w:type="gramEnd"/>
            <w:r w:rsidRPr="005F6570">
              <w:rPr>
                <w:rFonts w:eastAsia="Times New Roman"/>
                <w:color w:val="000000"/>
                <w:lang w:val="en-GB" w:eastAsia="en-GB"/>
              </w:rPr>
              <w:t xml:space="preserve"> clients, customers, suppliers and contractors, may be more vulnerable to sexual harassment due to a higher frequency of interactions. These often take place at the client home</w:t>
            </w:r>
          </w:p>
        </w:tc>
        <w:tc>
          <w:tcPr>
            <w:tcW w:w="3060" w:type="dxa"/>
            <w:tcBorders>
              <w:top w:val="nil"/>
              <w:left w:val="nil"/>
              <w:bottom w:val="single" w:sz="4" w:space="0" w:color="auto"/>
              <w:right w:val="single" w:sz="4" w:space="0" w:color="auto"/>
            </w:tcBorders>
            <w:hideMark/>
          </w:tcPr>
          <w:p w14:paraId="58439FE6"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The organisation has analysed all reported incidents and formal complaints that involved sexual </w:t>
            </w:r>
            <w:proofErr w:type="gramStart"/>
            <w:r w:rsidRPr="005F6570">
              <w:rPr>
                <w:rFonts w:eastAsia="Times New Roman"/>
                <w:color w:val="000000"/>
                <w:lang w:val="en-GB" w:eastAsia="en-GB"/>
              </w:rPr>
              <w:t>harassment, and</w:t>
            </w:r>
            <w:proofErr w:type="gramEnd"/>
            <w:r w:rsidRPr="005F6570">
              <w:rPr>
                <w:rFonts w:eastAsia="Times New Roman"/>
                <w:color w:val="000000"/>
                <w:lang w:val="en-GB" w:eastAsia="en-GB"/>
              </w:rPr>
              <w:t xml:space="preserve"> considered the various roles within the organisation and determined there is a higher risk of sexual harassment where the employee is in a </w:t>
            </w:r>
            <w:proofErr w:type="gramStart"/>
            <w:r w:rsidRPr="005F6570">
              <w:rPr>
                <w:rFonts w:eastAsia="Times New Roman"/>
                <w:color w:val="000000"/>
                <w:lang w:val="en-GB" w:eastAsia="en-GB"/>
              </w:rPr>
              <w:t>one on one</w:t>
            </w:r>
            <w:proofErr w:type="gramEnd"/>
            <w:r w:rsidRPr="005F6570">
              <w:rPr>
                <w:rFonts w:eastAsia="Times New Roman"/>
                <w:color w:val="000000"/>
                <w:lang w:val="en-GB" w:eastAsia="en-GB"/>
              </w:rPr>
              <w:t xml:space="preserve"> situation with a client, and </w:t>
            </w:r>
            <w:proofErr w:type="gramStart"/>
            <w:r w:rsidRPr="005F6570">
              <w:rPr>
                <w:rFonts w:eastAsia="Times New Roman"/>
                <w:color w:val="000000"/>
                <w:lang w:val="en-GB" w:eastAsia="en-GB"/>
              </w:rPr>
              <w:t>in particular in</w:t>
            </w:r>
            <w:proofErr w:type="gramEnd"/>
            <w:r w:rsidRPr="005F6570">
              <w:rPr>
                <w:rFonts w:eastAsia="Times New Roman"/>
                <w:color w:val="000000"/>
                <w:lang w:val="en-GB" w:eastAsia="en-GB"/>
              </w:rPr>
              <w:t xml:space="preserve"> their home. </w:t>
            </w:r>
          </w:p>
        </w:tc>
        <w:tc>
          <w:tcPr>
            <w:tcW w:w="3240" w:type="dxa"/>
            <w:tcBorders>
              <w:top w:val="nil"/>
              <w:left w:val="nil"/>
              <w:bottom w:val="single" w:sz="4" w:space="0" w:color="auto"/>
              <w:right w:val="single" w:sz="4" w:space="0" w:color="auto"/>
            </w:tcBorders>
            <w:hideMark/>
          </w:tcPr>
          <w:p w14:paraId="355A276D"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The organisation has adopted a robust Anti-Sexual Harassment policy that explicitly addresses third party sexual harassment. The policy is accessible to all staff via the intranet. </w:t>
            </w:r>
          </w:p>
        </w:tc>
        <w:tc>
          <w:tcPr>
            <w:tcW w:w="3330" w:type="dxa"/>
            <w:tcBorders>
              <w:top w:val="nil"/>
              <w:left w:val="nil"/>
              <w:bottom w:val="single" w:sz="4" w:space="0" w:color="auto"/>
              <w:right w:val="single" w:sz="4" w:space="0" w:color="auto"/>
            </w:tcBorders>
            <w:hideMark/>
          </w:tcPr>
          <w:p w14:paraId="5EA75783"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(1) Provide comprehensive training to staff on recognising and reporting sexual harassment, bystander intervention and the consequences of sexual harassment. This training should also cover how to handle difficult interactions with third parties, setting boundaries, and empowering individuals to remove themselves from difficult situations. (2) Provide additional training for managers to ensure that they are able to support individuals who have been subjected to harassment by a third party and their role in preventing and stopping bullying and harassment from occurring in the workplace; (3) Ensure that the organisation’s zero tolerance approach to sexual harassment is communicated to third parties via email and notices displayed in public areas of the workplace.</w:t>
            </w:r>
          </w:p>
        </w:tc>
      </w:tr>
      <w:tr w:rsidR="00825C4E" w:rsidRPr="005F6570" w14:paraId="7B2FD097" w14:textId="77777777" w:rsidTr="00C35194">
        <w:trPr>
          <w:trHeight w:val="6960"/>
        </w:trPr>
        <w:tc>
          <w:tcPr>
            <w:tcW w:w="2100" w:type="dxa"/>
            <w:tcBorders>
              <w:top w:val="nil"/>
              <w:left w:val="single" w:sz="4" w:space="0" w:color="auto"/>
              <w:bottom w:val="single" w:sz="4" w:space="0" w:color="auto"/>
              <w:right w:val="single" w:sz="4" w:space="0" w:color="auto"/>
            </w:tcBorders>
            <w:hideMark/>
          </w:tcPr>
          <w:p w14:paraId="11D51D14"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lastRenderedPageBreak/>
              <w:t>5. Lack of diversity</w:t>
            </w:r>
          </w:p>
        </w:tc>
        <w:tc>
          <w:tcPr>
            <w:tcW w:w="2670" w:type="dxa"/>
            <w:tcBorders>
              <w:top w:val="nil"/>
              <w:left w:val="nil"/>
              <w:bottom w:val="single" w:sz="4" w:space="0" w:color="auto"/>
              <w:right w:val="single" w:sz="4" w:space="0" w:color="auto"/>
            </w:tcBorders>
            <w:hideMark/>
          </w:tcPr>
          <w:p w14:paraId="37C947E1"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A lack of diversity in senior leadership and managerial roles can result in a significant power imbalance, which may lead to women and groups from other underrepresented backgrounds throughout the organisation feeling marginalised, more vulnerable to sexual harassment and less empowered to speak up due to fear of retaliation.</w:t>
            </w:r>
          </w:p>
        </w:tc>
        <w:tc>
          <w:tcPr>
            <w:tcW w:w="3060" w:type="dxa"/>
            <w:tcBorders>
              <w:top w:val="nil"/>
              <w:left w:val="nil"/>
              <w:bottom w:val="single" w:sz="4" w:space="0" w:color="auto"/>
              <w:right w:val="single" w:sz="4" w:space="0" w:color="auto"/>
            </w:tcBorders>
            <w:hideMark/>
          </w:tcPr>
          <w:p w14:paraId="3FD764BF"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The organisation has analysed the demographics of individuals in senior leadership and managerial roles. We have concluded that X% of individuals in senior leadership roles and X% of individuals in managerial roles are male.</w:t>
            </w:r>
          </w:p>
        </w:tc>
        <w:tc>
          <w:tcPr>
            <w:tcW w:w="3240" w:type="dxa"/>
            <w:tcBorders>
              <w:top w:val="nil"/>
              <w:left w:val="nil"/>
              <w:bottom w:val="single" w:sz="4" w:space="0" w:color="auto"/>
              <w:right w:val="single" w:sz="4" w:space="0" w:color="auto"/>
            </w:tcBorders>
            <w:hideMark/>
          </w:tcPr>
          <w:p w14:paraId="4540BD57"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The organisation has adopted a robust Anti-harassment and anti-bullying policy, and Anti Sexual Harassment Policy. These policies </w:t>
            </w:r>
            <w:proofErr w:type="gramStart"/>
            <w:r w:rsidRPr="005F6570">
              <w:rPr>
                <w:rFonts w:eastAsia="Times New Roman"/>
                <w:color w:val="000000"/>
                <w:lang w:val="en-GB" w:eastAsia="en-GB"/>
              </w:rPr>
              <w:t>includes</w:t>
            </w:r>
            <w:proofErr w:type="gramEnd"/>
            <w:r w:rsidRPr="005F6570">
              <w:rPr>
                <w:rFonts w:eastAsia="Times New Roman"/>
                <w:color w:val="000000"/>
                <w:lang w:val="en-GB" w:eastAsia="en-GB"/>
              </w:rPr>
              <w:t xml:space="preserve"> clear examples of sexual harassment and a comprehensive reporting procedure. The policy contains multiple reporting channels to ensure that staff can safely report incidents of sexual harassment, even if the harasser is in a position of power. The inclusion of multiple reporting channels ensures impartiality and protection against negative consequences or retaliation. The organisation has also adopted an Equality, diversity and inclusion policy. Both policies are accessible to all staff via the intranet. </w:t>
            </w:r>
          </w:p>
        </w:tc>
        <w:tc>
          <w:tcPr>
            <w:tcW w:w="3330" w:type="dxa"/>
            <w:tcBorders>
              <w:top w:val="nil"/>
              <w:left w:val="nil"/>
              <w:bottom w:val="single" w:sz="4" w:space="0" w:color="auto"/>
              <w:right w:val="single" w:sz="4" w:space="0" w:color="auto"/>
            </w:tcBorders>
            <w:hideMark/>
          </w:tcPr>
          <w:p w14:paraId="5FAC9728"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(1) Provide regular diversity and inclusion training to senior leaders and managers with a focus on unconscious bias. (2) Run a reverse mentorship scheme where senior leaders and managers can learn from others about their lived experiences and the challenges that they have faced at work because they are from an underrepresented or minority group. (3) Set up equality, diversity and inclusion events and workshops through employee resource groups.  Ensure senior leaders and managers attend these events and workshops to educate themselves on the challenges faced by others. (4) Take reasonable and appropriate steps to encourage job applications for senior leadership and managerial roles from as diverse a range of people as possible.</w:t>
            </w:r>
          </w:p>
        </w:tc>
      </w:tr>
      <w:tr w:rsidR="00825C4E" w:rsidRPr="005F6570" w14:paraId="4CC33301" w14:textId="77777777" w:rsidTr="00C35194">
        <w:trPr>
          <w:trHeight w:val="5220"/>
        </w:trPr>
        <w:tc>
          <w:tcPr>
            <w:tcW w:w="2100" w:type="dxa"/>
            <w:tcBorders>
              <w:top w:val="nil"/>
              <w:left w:val="single" w:sz="4" w:space="0" w:color="auto"/>
              <w:bottom w:val="single" w:sz="4" w:space="0" w:color="auto"/>
              <w:right w:val="single" w:sz="4" w:space="0" w:color="auto"/>
            </w:tcBorders>
            <w:hideMark/>
          </w:tcPr>
          <w:p w14:paraId="746222BE"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lastRenderedPageBreak/>
              <w:t xml:space="preserve">6. </w:t>
            </w:r>
            <w:proofErr w:type="gramStart"/>
            <w:r w:rsidRPr="005F6570">
              <w:rPr>
                <w:rFonts w:eastAsia="Times New Roman"/>
                <w:color w:val="000000"/>
                <w:lang w:val="en-GB" w:eastAsia="en-GB"/>
              </w:rPr>
              <w:t>Particular events</w:t>
            </w:r>
            <w:proofErr w:type="gramEnd"/>
            <w:r w:rsidRPr="005F6570">
              <w:rPr>
                <w:rFonts w:eastAsia="Times New Roman"/>
                <w:color w:val="000000"/>
                <w:lang w:val="en-GB" w:eastAsia="en-GB"/>
              </w:rPr>
              <w:t xml:space="preserve"> that raise tensions locally or nationally</w:t>
            </w:r>
          </w:p>
        </w:tc>
        <w:tc>
          <w:tcPr>
            <w:tcW w:w="2670" w:type="dxa"/>
            <w:tcBorders>
              <w:top w:val="nil"/>
              <w:left w:val="nil"/>
              <w:bottom w:val="single" w:sz="4" w:space="0" w:color="auto"/>
              <w:right w:val="single" w:sz="4" w:space="0" w:color="auto"/>
            </w:tcBorders>
            <w:hideMark/>
          </w:tcPr>
          <w:p w14:paraId="73DBD6D2"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Events that raise tensions locally or nationally can create strong reactions, polarise opinions and create division in the workplace. In such environments, individuals may feel compelled to assert their beliefs forcefully, sometimes leading to harassment or hostile behaviour towards those in the workplace with differing perspectives.  </w:t>
            </w:r>
          </w:p>
        </w:tc>
        <w:tc>
          <w:tcPr>
            <w:tcW w:w="3060" w:type="dxa"/>
            <w:tcBorders>
              <w:top w:val="nil"/>
              <w:left w:val="nil"/>
              <w:bottom w:val="single" w:sz="4" w:space="0" w:color="auto"/>
              <w:right w:val="single" w:sz="4" w:space="0" w:color="auto"/>
            </w:tcBorders>
            <w:hideMark/>
          </w:tcPr>
          <w:p w14:paraId="53CD239C"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The organisation has </w:t>
            </w:r>
            <w:r>
              <w:rPr>
                <w:rFonts w:eastAsia="Times New Roman"/>
                <w:color w:val="000000"/>
                <w:lang w:val="en-GB" w:eastAsia="en-GB"/>
              </w:rPr>
              <w:t>determined that there have been few of these events locally that would have an impact</w:t>
            </w:r>
          </w:p>
        </w:tc>
        <w:tc>
          <w:tcPr>
            <w:tcW w:w="3240" w:type="dxa"/>
            <w:tcBorders>
              <w:top w:val="nil"/>
              <w:left w:val="nil"/>
              <w:bottom w:val="single" w:sz="4" w:space="0" w:color="auto"/>
              <w:right w:val="single" w:sz="4" w:space="0" w:color="auto"/>
            </w:tcBorders>
            <w:hideMark/>
          </w:tcPr>
          <w:p w14:paraId="7FDBF21B"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The organisation has adopted a robust Anti-harassment and anti-bullying policy, and Anti Sexual Harassment Policy. These policies </w:t>
            </w:r>
            <w:proofErr w:type="gramStart"/>
            <w:r w:rsidRPr="005F6570">
              <w:rPr>
                <w:rFonts w:eastAsia="Times New Roman"/>
                <w:color w:val="000000"/>
                <w:lang w:val="en-GB" w:eastAsia="en-GB"/>
              </w:rPr>
              <w:t>includes</w:t>
            </w:r>
            <w:proofErr w:type="gramEnd"/>
            <w:r w:rsidRPr="005F6570">
              <w:rPr>
                <w:rFonts w:eastAsia="Times New Roman"/>
                <w:color w:val="000000"/>
                <w:lang w:val="en-GB" w:eastAsia="en-GB"/>
              </w:rPr>
              <w:t xml:space="preserve"> clear examples of sexual harassment and a comprehensive reporting procedure. The policy contains multiple reporting channels to ensure that staff can safely report incidents of sexual harassment, even if the harasser is in a position of power. The inclusion of multiple reporting channels ensures impartiality and protection against negative consequences or retaliation. The policy is accessible to all staff via the intranet. </w:t>
            </w:r>
          </w:p>
        </w:tc>
        <w:tc>
          <w:tcPr>
            <w:tcW w:w="3330" w:type="dxa"/>
            <w:tcBorders>
              <w:top w:val="nil"/>
              <w:left w:val="nil"/>
              <w:bottom w:val="single" w:sz="4" w:space="0" w:color="auto"/>
              <w:right w:val="single" w:sz="4" w:space="0" w:color="auto"/>
            </w:tcBorders>
            <w:hideMark/>
          </w:tcPr>
          <w:p w14:paraId="33E3FF3A"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(1) Provide comprehensive training to staff on recognising and reporting sexual harassment, bystander intervention and the consequences of sexual harassment. (2) Remind staff of the organisation’s zero tolerance approach to discrimination, bullying harassment and sexual harassment in the workplace during any such event and reinforce the Anti-bullying and harassment policy. (3) Conduct regular check-ins with workers during any such event to ensure their wellbeing and help identify any potential issues.</w:t>
            </w:r>
          </w:p>
        </w:tc>
      </w:tr>
      <w:tr w:rsidR="00825C4E" w:rsidRPr="005F6570" w14:paraId="7B0C2EB4" w14:textId="77777777" w:rsidTr="00C35194">
        <w:trPr>
          <w:trHeight w:val="6960"/>
        </w:trPr>
        <w:tc>
          <w:tcPr>
            <w:tcW w:w="2100" w:type="dxa"/>
            <w:tcBorders>
              <w:top w:val="nil"/>
              <w:left w:val="single" w:sz="4" w:space="0" w:color="auto"/>
              <w:bottom w:val="nil"/>
              <w:right w:val="single" w:sz="4" w:space="0" w:color="auto"/>
            </w:tcBorders>
            <w:hideMark/>
          </w:tcPr>
          <w:p w14:paraId="77888C85"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lastRenderedPageBreak/>
              <w:t>7. Cultural norms at the workplace</w:t>
            </w:r>
          </w:p>
        </w:tc>
        <w:tc>
          <w:tcPr>
            <w:tcW w:w="2670" w:type="dxa"/>
            <w:tcBorders>
              <w:top w:val="nil"/>
              <w:left w:val="nil"/>
              <w:bottom w:val="nil"/>
              <w:right w:val="single" w:sz="4" w:space="0" w:color="auto"/>
            </w:tcBorders>
            <w:hideMark/>
          </w:tcPr>
          <w:p w14:paraId="4C83BE61"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A workplace culture that tolerates certain attitudes, inappropriate behaviours and stereotypical views where employees are not treated with dignity and respect may make staff more vulnerable to sexual harassment.</w:t>
            </w:r>
          </w:p>
        </w:tc>
        <w:tc>
          <w:tcPr>
            <w:tcW w:w="3060" w:type="dxa"/>
            <w:tcBorders>
              <w:top w:val="nil"/>
              <w:left w:val="nil"/>
              <w:bottom w:val="nil"/>
              <w:right w:val="single" w:sz="4" w:space="0" w:color="auto"/>
            </w:tcBorders>
            <w:hideMark/>
          </w:tcPr>
          <w:p w14:paraId="752B7703"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The organisation has determined that there is not historically been a workplace culture that has made staff vulnerable to sexual harassment.</w:t>
            </w:r>
          </w:p>
        </w:tc>
        <w:tc>
          <w:tcPr>
            <w:tcW w:w="3240" w:type="dxa"/>
            <w:tcBorders>
              <w:top w:val="nil"/>
              <w:left w:val="nil"/>
              <w:bottom w:val="nil"/>
              <w:right w:val="single" w:sz="4" w:space="0" w:color="auto"/>
            </w:tcBorders>
            <w:hideMark/>
          </w:tcPr>
          <w:p w14:paraId="1F819DE3"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The organisation has adopted a robust Anti-harassment and anti-bullying policy and Anti Sexual Harassment Policy. These policies include clear examples of harassment, including sexual harassment, and a comprehensive reporting procedure. The policy highlights a system of support for those affected or involved in sexual harassment, including access to an employee assistance programme, workplace mediation and/or counselling. The organisation has also adopted an Equality, diversity and inclusion policy. Both policies are accessible to all staff via the intranet. </w:t>
            </w:r>
          </w:p>
        </w:tc>
        <w:tc>
          <w:tcPr>
            <w:tcW w:w="3330" w:type="dxa"/>
            <w:tcBorders>
              <w:top w:val="nil"/>
              <w:left w:val="nil"/>
              <w:bottom w:val="nil"/>
              <w:right w:val="single" w:sz="4" w:space="0" w:color="auto"/>
            </w:tcBorders>
            <w:hideMark/>
          </w:tcPr>
          <w:p w14:paraId="4A92C13D" w14:textId="77777777" w:rsidR="00825C4E" w:rsidRPr="005F6570" w:rsidRDefault="00825C4E" w:rsidP="00C35194">
            <w:pPr>
              <w:widowControl/>
              <w:autoSpaceDE/>
              <w:autoSpaceDN/>
              <w:rPr>
                <w:rFonts w:eastAsia="Times New Roman"/>
                <w:color w:val="000000"/>
                <w:lang w:val="en-GB" w:eastAsia="en-GB"/>
              </w:rPr>
            </w:pPr>
            <w:proofErr w:type="gramStart"/>
            <w:r w:rsidRPr="005F6570">
              <w:rPr>
                <w:rFonts w:eastAsia="Times New Roman"/>
                <w:color w:val="000000"/>
                <w:lang w:val="en-GB" w:eastAsia="en-GB"/>
              </w:rPr>
              <w:t>( (</w:t>
            </w:r>
            <w:proofErr w:type="gramEnd"/>
            <w:r w:rsidRPr="005F6570">
              <w:rPr>
                <w:rFonts w:eastAsia="Times New Roman"/>
                <w:color w:val="000000"/>
                <w:lang w:val="en-GB" w:eastAsia="en-GB"/>
              </w:rPr>
              <w:t xml:space="preserve">1) Provide comprehensive training to staff on recognising and reporting sexual harassment, bystander intervention and the consequences of sexual harassment. (2) Provide regular diversity and inclusion training to senior leaders and managers with a focus on unconscious bias and their role in preventing and stopping discrimination, bullying and harassment from occurring in the workplace. (3) Monitor our workplace culture through anonymous surveys, exit interviews, one-to-one conversations, return-to-work meetings and employee resource groups to identify and address any </w:t>
            </w:r>
            <w:proofErr w:type="gramStart"/>
            <w:r w:rsidRPr="005F6570">
              <w:rPr>
                <w:rFonts w:eastAsia="Times New Roman"/>
                <w:color w:val="000000"/>
                <w:lang w:val="en-GB" w:eastAsia="en-GB"/>
              </w:rPr>
              <w:t>high risk</w:t>
            </w:r>
            <w:proofErr w:type="gramEnd"/>
            <w:r w:rsidRPr="005F6570">
              <w:rPr>
                <w:rFonts w:eastAsia="Times New Roman"/>
                <w:color w:val="000000"/>
                <w:lang w:val="en-GB" w:eastAsia="en-GB"/>
              </w:rPr>
              <w:t xml:space="preserve"> issues. (4) Ensure Anti-harassment and anti-</w:t>
            </w:r>
            <w:proofErr w:type="gramStart"/>
            <w:r w:rsidRPr="005F6570">
              <w:rPr>
                <w:rFonts w:eastAsia="Times New Roman"/>
                <w:color w:val="000000"/>
                <w:lang w:val="en-GB" w:eastAsia="en-GB"/>
              </w:rPr>
              <w:t>bullying ,</w:t>
            </w:r>
            <w:proofErr w:type="gramEnd"/>
            <w:r w:rsidRPr="005F6570">
              <w:rPr>
                <w:rFonts w:eastAsia="Times New Roman"/>
                <w:color w:val="000000"/>
                <w:lang w:val="en-GB" w:eastAsia="en-GB"/>
              </w:rPr>
              <w:t xml:space="preserve"> and Anti Sexual Harassment Policies are reviewed and communicated to staff regularly. </w:t>
            </w:r>
          </w:p>
        </w:tc>
      </w:tr>
      <w:tr w:rsidR="00825C4E" w:rsidRPr="005F6570" w14:paraId="05E3EB3E" w14:textId="77777777" w:rsidTr="00C35194">
        <w:trPr>
          <w:trHeight w:val="6960"/>
        </w:trPr>
        <w:tc>
          <w:tcPr>
            <w:tcW w:w="2100" w:type="dxa"/>
            <w:tcBorders>
              <w:top w:val="nil"/>
              <w:left w:val="single" w:sz="4" w:space="0" w:color="auto"/>
              <w:bottom w:val="single" w:sz="4" w:space="0" w:color="auto"/>
              <w:right w:val="single" w:sz="4" w:space="0" w:color="auto"/>
            </w:tcBorders>
          </w:tcPr>
          <w:p w14:paraId="1D689EA9" w14:textId="77777777" w:rsidR="00825C4E" w:rsidRPr="005F6570" w:rsidRDefault="00825C4E" w:rsidP="00C35194">
            <w:pPr>
              <w:widowControl/>
              <w:autoSpaceDE/>
              <w:autoSpaceDN/>
              <w:rPr>
                <w:rFonts w:eastAsia="Times New Roman"/>
                <w:color w:val="000000"/>
                <w:lang w:val="en-GB" w:eastAsia="en-GB"/>
              </w:rPr>
            </w:pPr>
            <w:r>
              <w:rPr>
                <w:rFonts w:eastAsia="Times New Roman"/>
                <w:color w:val="000000"/>
                <w:lang w:val="en-GB" w:eastAsia="en-GB"/>
              </w:rPr>
              <w:lastRenderedPageBreak/>
              <w:t>8. Work related Travel</w:t>
            </w:r>
          </w:p>
        </w:tc>
        <w:tc>
          <w:tcPr>
            <w:tcW w:w="2670" w:type="dxa"/>
            <w:tcBorders>
              <w:top w:val="nil"/>
              <w:left w:val="nil"/>
              <w:bottom w:val="single" w:sz="4" w:space="0" w:color="auto"/>
              <w:right w:val="single" w:sz="4" w:space="0" w:color="auto"/>
            </w:tcBorders>
          </w:tcPr>
          <w:p w14:paraId="519B8931" w14:textId="77777777" w:rsidR="00825C4E" w:rsidRPr="005F6570" w:rsidRDefault="00825C4E" w:rsidP="00C35194">
            <w:pPr>
              <w:widowControl/>
              <w:autoSpaceDE/>
              <w:autoSpaceDN/>
              <w:rPr>
                <w:rFonts w:eastAsia="Times New Roman"/>
                <w:color w:val="000000"/>
                <w:lang w:val="en-GB" w:eastAsia="en-GB"/>
              </w:rPr>
            </w:pPr>
            <w:r w:rsidRPr="005F6570">
              <w:rPr>
                <w:rFonts w:eastAsia="Times New Roman"/>
                <w:color w:val="000000"/>
                <w:lang w:val="en-GB" w:eastAsia="en-GB"/>
              </w:rPr>
              <w:t xml:space="preserve">Staff who regularly </w:t>
            </w:r>
            <w:r>
              <w:rPr>
                <w:rFonts w:eastAsia="Times New Roman"/>
                <w:color w:val="000000"/>
                <w:lang w:val="en-GB" w:eastAsia="en-GB"/>
              </w:rPr>
              <w:t xml:space="preserve">travel on business, at all times of the day or evening on work related business or after work related social events </w:t>
            </w:r>
            <w:r w:rsidRPr="005F6570">
              <w:rPr>
                <w:rFonts w:eastAsia="Times New Roman"/>
                <w:color w:val="000000"/>
                <w:lang w:val="en-GB" w:eastAsia="en-GB"/>
              </w:rPr>
              <w:t xml:space="preserve">with clients, customers, suppliers and contractors, may be more vulnerable to sexual harassment due to </w:t>
            </w:r>
            <w:proofErr w:type="spellStart"/>
            <w:proofErr w:type="gramStart"/>
            <w:r w:rsidRPr="005F6570">
              <w:rPr>
                <w:rFonts w:eastAsia="Times New Roman"/>
                <w:color w:val="000000"/>
                <w:lang w:val="en-GB" w:eastAsia="en-GB"/>
              </w:rPr>
              <w:t>a</w:t>
            </w:r>
            <w:proofErr w:type="spellEnd"/>
            <w:proofErr w:type="gramEnd"/>
            <w:r w:rsidRPr="005F6570">
              <w:rPr>
                <w:rFonts w:eastAsia="Times New Roman"/>
                <w:color w:val="000000"/>
                <w:lang w:val="en-GB" w:eastAsia="en-GB"/>
              </w:rPr>
              <w:t xml:space="preserve"> </w:t>
            </w:r>
            <w:r>
              <w:rPr>
                <w:rFonts w:eastAsia="Times New Roman"/>
                <w:color w:val="000000"/>
                <w:lang w:val="en-GB" w:eastAsia="en-GB"/>
              </w:rPr>
              <w:t>isolation, time and frequency of the travel</w:t>
            </w:r>
            <w:r w:rsidRPr="005F6570">
              <w:rPr>
                <w:rFonts w:eastAsia="Times New Roman"/>
                <w:color w:val="000000"/>
                <w:lang w:val="en-GB" w:eastAsia="en-GB"/>
              </w:rPr>
              <w:t xml:space="preserve">. </w:t>
            </w:r>
          </w:p>
        </w:tc>
        <w:tc>
          <w:tcPr>
            <w:tcW w:w="3060" w:type="dxa"/>
            <w:tcBorders>
              <w:top w:val="nil"/>
              <w:left w:val="nil"/>
              <w:bottom w:val="single" w:sz="4" w:space="0" w:color="auto"/>
              <w:right w:val="single" w:sz="4" w:space="0" w:color="auto"/>
            </w:tcBorders>
          </w:tcPr>
          <w:p w14:paraId="56EB07CC" w14:textId="77777777" w:rsidR="00825C4E" w:rsidRPr="005F6570" w:rsidRDefault="00825C4E" w:rsidP="00C35194">
            <w:pPr>
              <w:widowControl/>
              <w:autoSpaceDE/>
              <w:autoSpaceDN/>
              <w:rPr>
                <w:rFonts w:eastAsia="Times New Roman"/>
                <w:color w:val="000000"/>
                <w:lang w:val="en-GB" w:eastAsia="en-GB"/>
              </w:rPr>
            </w:pPr>
            <w:r>
              <w:rPr>
                <w:rFonts w:eastAsia="Times New Roman"/>
                <w:color w:val="000000"/>
                <w:lang w:val="en-GB" w:eastAsia="en-GB"/>
              </w:rPr>
              <w:t>The organisation recognises that different locations may require higher spend to ensure better safety, or different travel times. Accommodation will be allowed in these circumstances with prior agreement with the relevant line manager.</w:t>
            </w:r>
          </w:p>
        </w:tc>
        <w:tc>
          <w:tcPr>
            <w:tcW w:w="3240" w:type="dxa"/>
            <w:tcBorders>
              <w:top w:val="nil"/>
              <w:left w:val="nil"/>
              <w:bottom w:val="single" w:sz="4" w:space="0" w:color="auto"/>
              <w:right w:val="single" w:sz="4" w:space="0" w:color="auto"/>
            </w:tcBorders>
          </w:tcPr>
          <w:p w14:paraId="119705A3" w14:textId="77777777" w:rsidR="00825C4E" w:rsidRPr="005F6570" w:rsidRDefault="00825C4E" w:rsidP="00C35194">
            <w:pPr>
              <w:widowControl/>
              <w:autoSpaceDE/>
              <w:autoSpaceDN/>
              <w:rPr>
                <w:rFonts w:eastAsia="Times New Roman"/>
                <w:color w:val="000000"/>
                <w:lang w:val="en-GB" w:eastAsia="en-GB"/>
              </w:rPr>
            </w:pPr>
            <w:r w:rsidRPr="00C754F9">
              <w:t xml:space="preserve">The </w:t>
            </w:r>
            <w:proofErr w:type="spellStart"/>
            <w:r w:rsidRPr="00C754F9">
              <w:t>organisation</w:t>
            </w:r>
            <w:proofErr w:type="spellEnd"/>
            <w:r w:rsidRPr="00C754F9">
              <w:t xml:space="preserve"> has adopted a robust Anti-Sexual Harassment policy that explicitly addresses sexual harassment. This policy includes clear examples of sexual harassment, and a comprehensive reporting procedure. The policy is accessible to all staff via the intranet.</w:t>
            </w:r>
          </w:p>
        </w:tc>
        <w:tc>
          <w:tcPr>
            <w:tcW w:w="3330" w:type="dxa"/>
            <w:tcBorders>
              <w:top w:val="nil"/>
              <w:left w:val="nil"/>
              <w:bottom w:val="single" w:sz="4" w:space="0" w:color="auto"/>
              <w:right w:val="single" w:sz="4" w:space="0" w:color="auto"/>
            </w:tcBorders>
          </w:tcPr>
          <w:p w14:paraId="69C00099" w14:textId="77777777" w:rsidR="00825C4E" w:rsidRPr="005F6570" w:rsidRDefault="00825C4E" w:rsidP="00C35194">
            <w:pPr>
              <w:widowControl/>
              <w:autoSpaceDE/>
              <w:autoSpaceDN/>
              <w:rPr>
                <w:rFonts w:eastAsia="Times New Roman"/>
                <w:color w:val="000000"/>
                <w:lang w:val="en-GB" w:eastAsia="en-GB"/>
              </w:rPr>
            </w:pPr>
            <w:r w:rsidRPr="00C754F9">
              <w:t xml:space="preserve">(1) Conduct regular check-ins with </w:t>
            </w:r>
            <w:r>
              <w:t>those</w:t>
            </w:r>
            <w:r w:rsidRPr="00C754F9">
              <w:t xml:space="preserve"> workers</w:t>
            </w:r>
            <w:r>
              <w:t xml:space="preserve"> who are </w:t>
            </w:r>
            <w:proofErr w:type="gramStart"/>
            <w:r>
              <w:t xml:space="preserve">traveling </w:t>
            </w:r>
            <w:r w:rsidRPr="00C754F9">
              <w:t xml:space="preserve"> to</w:t>
            </w:r>
            <w:proofErr w:type="gramEnd"/>
            <w:r w:rsidRPr="00C754F9">
              <w:t xml:space="preserve"> ensure their wellbeing and help identify any potential issues. (2) Consider the implementation of safety measures, such as </w:t>
            </w:r>
            <w:r>
              <w:t xml:space="preserve">issuing pepper spray which </w:t>
            </w:r>
            <w:r w:rsidRPr="00C754F9">
              <w:t xml:space="preserve">may serve as deterrent and provide a sense of security. (3) Make efforts to ensure that there are always two members of staff present whenever possible. (4) Provide comprehensive training to staff on </w:t>
            </w:r>
            <w:proofErr w:type="spellStart"/>
            <w:r w:rsidRPr="00C754F9">
              <w:t>recogni</w:t>
            </w:r>
            <w:r>
              <w:t>s</w:t>
            </w:r>
            <w:r w:rsidRPr="00C754F9">
              <w:t>ing</w:t>
            </w:r>
            <w:proofErr w:type="spellEnd"/>
            <w:r w:rsidRPr="00C754F9">
              <w:t xml:space="preserve"> and reporting sexual harassment, bystander intervention and the consequences of sexual harassment. This training should focus on creating a supporting environment and empowering staff to speak up. </w:t>
            </w:r>
            <w:r>
              <w:t xml:space="preserve">(5) encourage the </w:t>
            </w:r>
            <w:proofErr w:type="gramStart"/>
            <w:r>
              <w:t>worker</w:t>
            </w:r>
            <w:proofErr w:type="gramEnd"/>
            <w:r>
              <w:t xml:space="preserve"> to consider the hours that they travel and ensure they remain, where </w:t>
            </w:r>
            <w:proofErr w:type="gramStart"/>
            <w:r>
              <w:t>possible</w:t>
            </w:r>
            <w:proofErr w:type="gramEnd"/>
            <w:r>
              <w:t xml:space="preserve"> in more </w:t>
            </w:r>
            <w:proofErr w:type="gramStart"/>
            <w:r>
              <w:t>crowed</w:t>
            </w:r>
            <w:proofErr w:type="gramEnd"/>
            <w:r>
              <w:t xml:space="preserve"> or populated areas. </w:t>
            </w:r>
          </w:p>
        </w:tc>
      </w:tr>
    </w:tbl>
    <w:p w14:paraId="13C44E17" w14:textId="77777777" w:rsidR="00B42988" w:rsidRDefault="00B42988"/>
    <w:sectPr w:rsidR="005B08DB" w:rsidSect="00825C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599E" w14:textId="77777777" w:rsidR="00825C4E" w:rsidRDefault="00825C4E" w:rsidP="00825C4E">
      <w:r>
        <w:separator/>
      </w:r>
    </w:p>
  </w:endnote>
  <w:endnote w:type="continuationSeparator" w:id="0">
    <w:p w14:paraId="7054E6F2" w14:textId="77777777" w:rsidR="00825C4E" w:rsidRDefault="00825C4E" w:rsidP="0082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C8CE" w14:textId="77777777" w:rsidR="00825C4E" w:rsidRDefault="00825C4E" w:rsidP="00825C4E">
      <w:r>
        <w:separator/>
      </w:r>
    </w:p>
  </w:footnote>
  <w:footnote w:type="continuationSeparator" w:id="0">
    <w:p w14:paraId="0737FCD8" w14:textId="77777777" w:rsidR="00825C4E" w:rsidRDefault="00825C4E" w:rsidP="00825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4E"/>
    <w:rsid w:val="000C40EE"/>
    <w:rsid w:val="004475CB"/>
    <w:rsid w:val="00484124"/>
    <w:rsid w:val="00825C4E"/>
    <w:rsid w:val="00B42988"/>
    <w:rsid w:val="00C87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C2771D"/>
  <w15:chartTrackingRefBased/>
  <w15:docId w15:val="{6C690B78-6998-4C53-B919-EF20CB7D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C4E"/>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C4E"/>
    <w:pPr>
      <w:tabs>
        <w:tab w:val="center" w:pos="4513"/>
        <w:tab w:val="right" w:pos="9026"/>
      </w:tabs>
    </w:pPr>
  </w:style>
  <w:style w:type="character" w:customStyle="1" w:styleId="HeaderChar">
    <w:name w:val="Header Char"/>
    <w:basedOn w:val="DefaultParagraphFont"/>
    <w:link w:val="Header"/>
    <w:uiPriority w:val="99"/>
    <w:rsid w:val="00825C4E"/>
    <w:rPr>
      <w:rFonts w:ascii="Calibri" w:eastAsia="Calibri" w:hAnsi="Calibri" w:cs="Calibri"/>
      <w:lang w:val="en-US"/>
    </w:rPr>
  </w:style>
  <w:style w:type="paragraph" w:styleId="Footer">
    <w:name w:val="footer"/>
    <w:basedOn w:val="Normal"/>
    <w:link w:val="FooterChar"/>
    <w:uiPriority w:val="99"/>
    <w:unhideWhenUsed/>
    <w:rsid w:val="00825C4E"/>
    <w:pPr>
      <w:tabs>
        <w:tab w:val="center" w:pos="4513"/>
        <w:tab w:val="right" w:pos="9026"/>
      </w:tabs>
    </w:pPr>
  </w:style>
  <w:style w:type="character" w:customStyle="1" w:styleId="FooterChar">
    <w:name w:val="Footer Char"/>
    <w:basedOn w:val="DefaultParagraphFont"/>
    <w:link w:val="Footer"/>
    <w:uiPriority w:val="99"/>
    <w:rsid w:val="00825C4E"/>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93c64593a425a8411e08cbccbb2ca8ec">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57d0557b7c4c7915b9291426a5068308"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A7CDC-6AD8-4FFF-9925-1941F4957896}">
  <ds:schemaRefs>
    <ds:schemaRef ds:uri="http://schemas.openxmlformats.org/officeDocument/2006/bibliography"/>
  </ds:schemaRefs>
</ds:datastoreItem>
</file>

<file path=customXml/itemProps2.xml><?xml version="1.0" encoding="utf-8"?>
<ds:datastoreItem xmlns:ds="http://schemas.openxmlformats.org/officeDocument/2006/customXml" ds:itemID="{CD2BCADF-FD80-45BA-AD60-D393114A8F0E}"/>
</file>

<file path=customXml/itemProps3.xml><?xml version="1.0" encoding="utf-8"?>
<ds:datastoreItem xmlns:ds="http://schemas.openxmlformats.org/officeDocument/2006/customXml" ds:itemID="{3861A2CA-85CD-48B5-A50B-9D715022A98F}">
  <ds:schemaRefs>
    <ds:schemaRef ds:uri="http://schemas.microsoft.com/sharepoint/v3/contenttype/forms"/>
  </ds:schemaRefs>
</ds:datastoreItem>
</file>

<file path=customXml/itemProps4.xml><?xml version="1.0" encoding="utf-8"?>
<ds:datastoreItem xmlns:ds="http://schemas.openxmlformats.org/officeDocument/2006/customXml" ds:itemID="{F052BA65-2DE9-4498-9493-D06703387767}">
  <ds:schemaRefs>
    <ds:schemaRef ds:uri="65190a07-dab6-4dc7-b7e0-e7a87bf354fc"/>
    <ds:schemaRef ds:uri="http://purl.org/dc/elements/1.1/"/>
    <ds:schemaRef ds:uri="http://schemas.microsoft.com/office/2006/metadata/properties"/>
    <ds:schemaRef ds:uri="378279af-6938-494b-b949-ba9880beab6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Allison</dc:creator>
  <cp:keywords/>
  <dc:description/>
  <cp:lastModifiedBy>Natalie Giblin</cp:lastModifiedBy>
  <cp:revision>3</cp:revision>
  <dcterms:created xsi:type="dcterms:W3CDTF">2025-03-28T09:09:00Z</dcterms:created>
  <dcterms:modified xsi:type="dcterms:W3CDTF">2025-11-28T12:20:00Z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MediaServiceImageTags">
    <vt:lpwstr/>
  </property>
</Properties>
</file>